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75BFB" w14:textId="77777777" w:rsidR="004C7D64" w:rsidRPr="005E1068" w:rsidRDefault="004C7D64" w:rsidP="004C7D64">
      <w:pPr>
        <w:pStyle w:val="Ttulo1"/>
        <w:spacing w:line="276" w:lineRule="auto"/>
        <w:rPr>
          <w:rFonts w:ascii="Times New Roman" w:hAnsi="Times New Roman"/>
          <w:color w:val="auto"/>
          <w:sz w:val="24"/>
          <w:szCs w:val="24"/>
          <w:lang w:val="es-ES_tradnl"/>
        </w:rPr>
      </w:pPr>
      <w:bookmarkStart w:id="0" w:name="_Toc511499883"/>
      <w:bookmarkStart w:id="1" w:name="_GoBack"/>
      <w:r w:rsidRPr="005E1068">
        <w:rPr>
          <w:rFonts w:ascii="Times New Roman" w:hAnsi="Times New Roman"/>
          <w:b/>
          <w:color w:val="auto"/>
          <w:sz w:val="24"/>
          <w:szCs w:val="24"/>
          <w:lang w:val="es-ES_tradnl"/>
        </w:rPr>
        <w:t>Título</w:t>
      </w:r>
      <w:bookmarkEnd w:id="0"/>
      <w:r w:rsidRPr="005E1068">
        <w:rPr>
          <w:rFonts w:ascii="Times New Roman" w:hAnsi="Times New Roman"/>
          <w:color w:val="auto"/>
          <w:sz w:val="24"/>
          <w:szCs w:val="24"/>
          <w:lang w:val="es-ES_tradnl"/>
        </w:rPr>
        <w:t>: La epidemia de enfermedad renal crónica en El Salvador: la influencia de los agroquímicos</w:t>
      </w:r>
    </w:p>
    <w:p w14:paraId="56E8B196" w14:textId="77777777" w:rsidR="004C7D64" w:rsidRPr="005E1068" w:rsidRDefault="004C7D64" w:rsidP="004C7D64">
      <w:pPr>
        <w:rPr>
          <w:rFonts w:ascii="Times New Roman" w:hAnsi="Times New Roman"/>
        </w:rPr>
      </w:pPr>
    </w:p>
    <w:p w14:paraId="4AE094AD" w14:textId="77777777" w:rsidR="004C7D64" w:rsidRPr="005E1068" w:rsidRDefault="004C7D64" w:rsidP="004C7D64">
      <w:pPr>
        <w:pStyle w:val="Ttulo1"/>
        <w:spacing w:line="240" w:lineRule="auto"/>
        <w:rPr>
          <w:rFonts w:ascii="Times New Roman" w:hAnsi="Times New Roman"/>
          <w:color w:val="auto"/>
          <w:sz w:val="24"/>
          <w:szCs w:val="24"/>
        </w:rPr>
      </w:pPr>
      <w:bookmarkStart w:id="2" w:name="_Toc511499884"/>
      <w:proofErr w:type="spellStart"/>
      <w:r w:rsidRPr="005E1068">
        <w:rPr>
          <w:rFonts w:ascii="Times New Roman" w:hAnsi="Times New Roman"/>
          <w:b/>
          <w:color w:val="auto"/>
          <w:sz w:val="24"/>
          <w:szCs w:val="24"/>
          <w:lang w:val="en-US"/>
        </w:rPr>
        <w:t>Autores</w:t>
      </w:r>
      <w:bookmarkEnd w:id="2"/>
      <w:proofErr w:type="spellEnd"/>
    </w:p>
    <w:p w14:paraId="24B48A8A" w14:textId="77777777" w:rsidR="004C7D64" w:rsidRPr="005E1068" w:rsidRDefault="004C7D64" w:rsidP="004C7D64">
      <w:pPr>
        <w:pStyle w:val="Prrafodelista"/>
        <w:numPr>
          <w:ilvl w:val="0"/>
          <w:numId w:val="11"/>
        </w:numPr>
        <w:spacing w:line="240" w:lineRule="auto"/>
        <w:rPr>
          <w:rFonts w:ascii="Times New Roman" w:hAnsi="Times New Roman"/>
          <w:sz w:val="24"/>
          <w:szCs w:val="24"/>
        </w:rPr>
      </w:pPr>
      <w:r w:rsidRPr="005E1068">
        <w:rPr>
          <w:rFonts w:ascii="Times New Roman" w:hAnsi="Times New Roman"/>
          <w:sz w:val="24"/>
          <w:szCs w:val="24"/>
          <w:lang w:eastAsia="es-SV"/>
        </w:rPr>
        <w:t>Carlos Manuel Orantes Navarro (</w:t>
      </w:r>
      <w:hyperlink r:id="rId8" w:history="1">
        <w:r w:rsidRPr="005E1068">
          <w:rPr>
            <w:rStyle w:val="Hipervnculo"/>
            <w:rFonts w:ascii="Times New Roman" w:hAnsi="Times New Roman"/>
            <w:color w:val="auto"/>
            <w:sz w:val="24"/>
            <w:szCs w:val="24"/>
            <w:lang w:eastAsia="es-SV"/>
          </w:rPr>
          <w:t>doktorantes@gmail.com</w:t>
        </w:r>
      </w:hyperlink>
      <w:r w:rsidRPr="005E1068">
        <w:rPr>
          <w:rFonts w:ascii="Times New Roman" w:hAnsi="Times New Roman"/>
          <w:sz w:val="24"/>
          <w:szCs w:val="24"/>
          <w:lang w:eastAsia="es-SV"/>
        </w:rPr>
        <w:t xml:space="preserve">) </w:t>
      </w:r>
    </w:p>
    <w:p w14:paraId="3D3393DE" w14:textId="77777777" w:rsidR="004C7D64" w:rsidRPr="005E1068" w:rsidRDefault="004C7D64" w:rsidP="004C7D64">
      <w:pPr>
        <w:pStyle w:val="Prrafodelista"/>
        <w:numPr>
          <w:ilvl w:val="0"/>
          <w:numId w:val="11"/>
        </w:numPr>
        <w:spacing w:line="240" w:lineRule="auto"/>
        <w:rPr>
          <w:rFonts w:ascii="Times New Roman" w:hAnsi="Times New Roman"/>
          <w:sz w:val="24"/>
          <w:szCs w:val="24"/>
        </w:rPr>
      </w:pPr>
      <w:r w:rsidRPr="005E1068">
        <w:rPr>
          <w:rFonts w:ascii="Times New Roman" w:hAnsi="Times New Roman"/>
          <w:sz w:val="24"/>
          <w:szCs w:val="24"/>
          <w:lang w:eastAsia="es-SV"/>
        </w:rPr>
        <w:t>Miguel Almaguer López (</w:t>
      </w:r>
      <w:hyperlink r:id="rId9" w:history="1">
        <w:r w:rsidRPr="005E1068">
          <w:rPr>
            <w:rStyle w:val="Hipervnculo"/>
            <w:rFonts w:ascii="Times New Roman" w:hAnsi="Times New Roman"/>
            <w:color w:val="auto"/>
            <w:sz w:val="24"/>
            <w:szCs w:val="24"/>
            <w:lang w:eastAsia="es-SV"/>
          </w:rPr>
          <w:t>nefroprev@infomed.sld.cu</w:t>
        </w:r>
      </w:hyperlink>
      <w:r w:rsidRPr="005E1068">
        <w:rPr>
          <w:rFonts w:ascii="Times New Roman" w:hAnsi="Times New Roman"/>
          <w:sz w:val="24"/>
          <w:szCs w:val="24"/>
          <w:lang w:eastAsia="es-SV"/>
        </w:rPr>
        <w:t xml:space="preserve">, </w:t>
      </w:r>
      <w:hyperlink r:id="rId10" w:history="1">
        <w:r w:rsidRPr="005E1068">
          <w:rPr>
            <w:rStyle w:val="Hipervnculo"/>
            <w:rFonts w:ascii="Times New Roman" w:hAnsi="Times New Roman"/>
            <w:color w:val="auto"/>
            <w:sz w:val="24"/>
            <w:szCs w:val="24"/>
            <w:lang w:eastAsia="es-SV"/>
          </w:rPr>
          <w:t>miguelalmaguer031143@gmail.com</w:t>
        </w:r>
      </w:hyperlink>
      <w:r w:rsidRPr="005E1068">
        <w:rPr>
          <w:rFonts w:ascii="Times New Roman" w:hAnsi="Times New Roman"/>
          <w:sz w:val="24"/>
          <w:szCs w:val="24"/>
        </w:rPr>
        <w:t>)</w:t>
      </w:r>
    </w:p>
    <w:p w14:paraId="7EBC8D47" w14:textId="77777777" w:rsidR="004C7D64" w:rsidRPr="005E1068" w:rsidRDefault="004C7D64" w:rsidP="004C7D64">
      <w:pPr>
        <w:pStyle w:val="Prrafodelista"/>
        <w:numPr>
          <w:ilvl w:val="0"/>
          <w:numId w:val="11"/>
        </w:numPr>
        <w:spacing w:line="240" w:lineRule="auto"/>
        <w:rPr>
          <w:rFonts w:ascii="Times New Roman" w:hAnsi="Times New Roman"/>
          <w:sz w:val="24"/>
          <w:szCs w:val="24"/>
        </w:rPr>
      </w:pPr>
      <w:r w:rsidRPr="005E1068">
        <w:rPr>
          <w:rFonts w:ascii="Times New Roman" w:hAnsi="Times New Roman"/>
          <w:sz w:val="24"/>
          <w:szCs w:val="24"/>
          <w:lang w:eastAsia="es-SV"/>
        </w:rPr>
        <w:t>Patricia Alonso Galbán (</w:t>
      </w:r>
      <w:hyperlink r:id="rId11" w:history="1">
        <w:r w:rsidRPr="005E1068">
          <w:rPr>
            <w:rStyle w:val="Hipervnculo"/>
            <w:rFonts w:ascii="Times New Roman" w:hAnsi="Times New Roman"/>
            <w:color w:val="auto"/>
            <w:sz w:val="24"/>
            <w:szCs w:val="24"/>
            <w:lang w:eastAsia="es-SV"/>
          </w:rPr>
          <w:t>patricia.alonso@infomed.sld.cu</w:t>
        </w:r>
      </w:hyperlink>
      <w:r w:rsidRPr="005E1068">
        <w:rPr>
          <w:rFonts w:ascii="Times New Roman" w:hAnsi="Times New Roman"/>
          <w:sz w:val="24"/>
          <w:szCs w:val="24"/>
          <w:lang w:eastAsia="es-SV"/>
        </w:rPr>
        <w:t xml:space="preserve">) </w:t>
      </w:r>
    </w:p>
    <w:p w14:paraId="2284D0A2" w14:textId="77777777" w:rsidR="004C7D64" w:rsidRPr="005E1068" w:rsidRDefault="004C7D64" w:rsidP="004C7D64">
      <w:pPr>
        <w:pStyle w:val="Prrafodelista"/>
        <w:numPr>
          <w:ilvl w:val="0"/>
          <w:numId w:val="11"/>
        </w:numPr>
        <w:spacing w:line="240" w:lineRule="auto"/>
        <w:rPr>
          <w:rFonts w:ascii="Times New Roman" w:hAnsi="Times New Roman"/>
          <w:sz w:val="24"/>
          <w:szCs w:val="24"/>
        </w:rPr>
      </w:pPr>
      <w:r w:rsidRPr="005E1068">
        <w:rPr>
          <w:rFonts w:ascii="Times New Roman" w:hAnsi="Times New Roman"/>
          <w:sz w:val="24"/>
          <w:szCs w:val="24"/>
          <w:lang w:eastAsia="es-SV"/>
        </w:rPr>
        <w:t>Moisés Díaz Amaya (</w:t>
      </w:r>
      <w:hyperlink r:id="rId12" w:history="1">
        <w:r w:rsidRPr="005E1068">
          <w:rPr>
            <w:rStyle w:val="Hipervnculo"/>
            <w:rFonts w:ascii="Times New Roman" w:hAnsi="Times New Roman"/>
            <w:color w:val="auto"/>
            <w:sz w:val="24"/>
            <w:szCs w:val="24"/>
            <w:lang w:eastAsia="es-SV"/>
          </w:rPr>
          <w:t>moisdiaz@gmail.com</w:t>
        </w:r>
      </w:hyperlink>
      <w:r w:rsidRPr="005E1068">
        <w:rPr>
          <w:rFonts w:ascii="Times New Roman" w:hAnsi="Times New Roman"/>
          <w:sz w:val="24"/>
          <w:szCs w:val="24"/>
          <w:lang w:eastAsia="es-SV"/>
        </w:rPr>
        <w:t xml:space="preserve">) </w:t>
      </w:r>
    </w:p>
    <w:p w14:paraId="5C44A9CC" w14:textId="77777777" w:rsidR="004C7D64" w:rsidRPr="005E1068" w:rsidRDefault="004C7D64" w:rsidP="004C7D64">
      <w:pPr>
        <w:pStyle w:val="Prrafodelista"/>
        <w:numPr>
          <w:ilvl w:val="0"/>
          <w:numId w:val="11"/>
        </w:numPr>
        <w:spacing w:line="240" w:lineRule="auto"/>
        <w:rPr>
          <w:rFonts w:ascii="Times New Roman" w:hAnsi="Times New Roman"/>
          <w:sz w:val="24"/>
          <w:szCs w:val="24"/>
        </w:rPr>
      </w:pPr>
      <w:r w:rsidRPr="005E1068">
        <w:rPr>
          <w:rFonts w:ascii="Times New Roman" w:hAnsi="Times New Roman"/>
          <w:sz w:val="24"/>
          <w:szCs w:val="24"/>
          <w:lang w:eastAsia="es-SV"/>
        </w:rPr>
        <w:t>Samuel Hernández (</w:t>
      </w:r>
      <w:hyperlink r:id="rId13" w:history="1">
        <w:r w:rsidRPr="005E1068">
          <w:rPr>
            <w:rStyle w:val="Hipervnculo"/>
            <w:rFonts w:ascii="Times New Roman" w:hAnsi="Times New Roman"/>
            <w:color w:val="auto"/>
            <w:sz w:val="24"/>
            <w:szCs w:val="24"/>
            <w:lang w:eastAsia="es-SV"/>
          </w:rPr>
          <w:t>sjosueh@yahoo.com</w:t>
        </w:r>
      </w:hyperlink>
      <w:r w:rsidRPr="005E1068">
        <w:rPr>
          <w:rFonts w:ascii="Times New Roman" w:hAnsi="Times New Roman"/>
          <w:sz w:val="24"/>
          <w:szCs w:val="24"/>
          <w:lang w:eastAsia="es-SV"/>
        </w:rPr>
        <w:t xml:space="preserve">) </w:t>
      </w:r>
    </w:p>
    <w:p w14:paraId="5132D3DF" w14:textId="77777777" w:rsidR="004C7D64" w:rsidRPr="005E1068" w:rsidRDefault="004C7D64" w:rsidP="004C7D64">
      <w:pPr>
        <w:pStyle w:val="Prrafodelista"/>
        <w:numPr>
          <w:ilvl w:val="0"/>
          <w:numId w:val="11"/>
        </w:numPr>
        <w:spacing w:line="240" w:lineRule="auto"/>
        <w:rPr>
          <w:rFonts w:ascii="Times New Roman" w:hAnsi="Times New Roman"/>
          <w:sz w:val="24"/>
          <w:szCs w:val="24"/>
        </w:rPr>
      </w:pPr>
      <w:r w:rsidRPr="005E1068">
        <w:rPr>
          <w:rFonts w:ascii="Times New Roman" w:hAnsi="Times New Roman"/>
          <w:sz w:val="24"/>
          <w:szCs w:val="24"/>
          <w:lang w:eastAsia="es-SV"/>
        </w:rPr>
        <w:t>Raúl Herrera Valdés (</w:t>
      </w:r>
      <w:hyperlink r:id="rId14" w:history="1">
        <w:r w:rsidRPr="005E1068">
          <w:rPr>
            <w:rStyle w:val="Hipervnculo"/>
            <w:rFonts w:ascii="Times New Roman" w:hAnsi="Times New Roman"/>
            <w:color w:val="auto"/>
            <w:sz w:val="24"/>
            <w:szCs w:val="24"/>
            <w:lang w:eastAsia="es-SV"/>
          </w:rPr>
          <w:t>raul.herrera@infomed.sld.cu</w:t>
        </w:r>
      </w:hyperlink>
      <w:r w:rsidRPr="005E1068">
        <w:rPr>
          <w:rFonts w:ascii="Times New Roman" w:hAnsi="Times New Roman"/>
          <w:sz w:val="24"/>
          <w:szCs w:val="24"/>
          <w:lang w:eastAsia="es-SV"/>
        </w:rPr>
        <w:t xml:space="preserve">) </w:t>
      </w:r>
    </w:p>
    <w:p w14:paraId="25F6E6E8" w14:textId="77777777" w:rsidR="004C7D64" w:rsidRPr="005E1068" w:rsidRDefault="004C7D64" w:rsidP="004C7D64">
      <w:pPr>
        <w:pStyle w:val="Prrafodelista"/>
        <w:numPr>
          <w:ilvl w:val="0"/>
          <w:numId w:val="11"/>
        </w:numPr>
        <w:spacing w:line="240" w:lineRule="auto"/>
        <w:rPr>
          <w:rFonts w:ascii="Times New Roman" w:hAnsi="Times New Roman"/>
          <w:sz w:val="24"/>
          <w:szCs w:val="24"/>
        </w:rPr>
      </w:pPr>
      <w:r w:rsidRPr="005E1068">
        <w:rPr>
          <w:rFonts w:ascii="Times New Roman" w:hAnsi="Times New Roman"/>
          <w:sz w:val="24"/>
          <w:szCs w:val="24"/>
          <w:lang w:eastAsia="es-SV"/>
        </w:rPr>
        <w:t xml:space="preserve">Luis Carlos Silva </w:t>
      </w:r>
      <w:proofErr w:type="spellStart"/>
      <w:r w:rsidRPr="005E1068">
        <w:rPr>
          <w:rFonts w:ascii="Times New Roman" w:hAnsi="Times New Roman"/>
          <w:sz w:val="24"/>
          <w:szCs w:val="24"/>
          <w:lang w:eastAsia="es-SV"/>
        </w:rPr>
        <w:t>Ayçaguer</w:t>
      </w:r>
      <w:proofErr w:type="spellEnd"/>
      <w:r w:rsidRPr="005E1068">
        <w:rPr>
          <w:rFonts w:ascii="Times New Roman" w:hAnsi="Times New Roman"/>
          <w:sz w:val="24"/>
          <w:szCs w:val="24"/>
          <w:lang w:eastAsia="es-SV"/>
        </w:rPr>
        <w:t xml:space="preserve"> (autor correspondiente)</w:t>
      </w:r>
    </w:p>
    <w:p w14:paraId="716114F8" w14:textId="76305065" w:rsidR="004C7D64" w:rsidRPr="005E1068" w:rsidRDefault="00FC69D4" w:rsidP="004C7D64">
      <w:pPr>
        <w:spacing w:line="276" w:lineRule="auto"/>
        <w:rPr>
          <w:rFonts w:ascii="Times New Roman" w:hAnsi="Times New Roman"/>
          <w:sz w:val="24"/>
          <w:szCs w:val="24"/>
        </w:rPr>
      </w:pPr>
      <w:r w:rsidRPr="005E1068">
        <w:rPr>
          <w:rFonts w:ascii="Times New Roman" w:hAnsi="Times New Roman"/>
          <w:b/>
          <w:sz w:val="24"/>
          <w:szCs w:val="24"/>
          <w:lang w:val="es-ES_tradnl"/>
        </w:rPr>
        <w:t>C</w:t>
      </w:r>
      <w:r w:rsidR="004C7D64" w:rsidRPr="005E1068">
        <w:rPr>
          <w:rFonts w:ascii="Times New Roman" w:hAnsi="Times New Roman"/>
          <w:b/>
          <w:sz w:val="24"/>
          <w:szCs w:val="24"/>
          <w:lang w:val="es-ES_tradnl"/>
        </w:rPr>
        <w:t>ontacto</w:t>
      </w:r>
      <w:r w:rsidRPr="005E1068">
        <w:rPr>
          <w:rFonts w:ascii="Times New Roman" w:hAnsi="Times New Roman"/>
          <w:b/>
          <w:sz w:val="24"/>
          <w:szCs w:val="24"/>
          <w:lang w:val="es-ES_tradnl"/>
        </w:rPr>
        <w:t xml:space="preserve"> para la correspondencia</w:t>
      </w:r>
      <w:r w:rsidR="004C7D64" w:rsidRPr="005E1068">
        <w:rPr>
          <w:rFonts w:ascii="Times New Roman" w:hAnsi="Times New Roman"/>
          <w:sz w:val="24"/>
          <w:szCs w:val="24"/>
        </w:rPr>
        <w:t xml:space="preserve">: Luis Carlos Silva </w:t>
      </w:r>
      <w:proofErr w:type="spellStart"/>
      <w:r w:rsidR="004C7D64" w:rsidRPr="005E1068">
        <w:rPr>
          <w:rFonts w:ascii="Times New Roman" w:hAnsi="Times New Roman"/>
          <w:sz w:val="24"/>
          <w:szCs w:val="24"/>
        </w:rPr>
        <w:t>Ayçaguer</w:t>
      </w:r>
      <w:proofErr w:type="spellEnd"/>
      <w:r w:rsidR="004C7D64" w:rsidRPr="005E1068">
        <w:rPr>
          <w:rFonts w:ascii="Times New Roman" w:hAnsi="Times New Roman"/>
          <w:sz w:val="24"/>
          <w:szCs w:val="24"/>
        </w:rPr>
        <w:t xml:space="preserve"> (</w:t>
      </w:r>
      <w:hyperlink r:id="rId15" w:history="1">
        <w:r w:rsidR="004C7D64" w:rsidRPr="005E1068">
          <w:rPr>
            <w:rStyle w:val="Hipervnculo"/>
            <w:rFonts w:ascii="Times New Roman" w:hAnsi="Times New Roman"/>
            <w:color w:val="auto"/>
            <w:sz w:val="24"/>
            <w:szCs w:val="24"/>
          </w:rPr>
          <w:t>lcsilva@infomed.sld.cu</w:t>
        </w:r>
      </w:hyperlink>
      <w:r w:rsidR="004C7D64" w:rsidRPr="005E1068">
        <w:rPr>
          <w:rFonts w:ascii="Times New Roman" w:hAnsi="Times New Roman"/>
          <w:sz w:val="24"/>
          <w:szCs w:val="24"/>
        </w:rPr>
        <w:t>)</w:t>
      </w:r>
    </w:p>
    <w:p w14:paraId="26D49D8F" w14:textId="41B97369" w:rsidR="00AD2881" w:rsidRPr="005E1068" w:rsidRDefault="00AD2881" w:rsidP="00772B81">
      <w:pPr>
        <w:spacing w:after="0" w:line="360" w:lineRule="auto"/>
        <w:jc w:val="both"/>
        <w:rPr>
          <w:rFonts w:ascii="Times New Roman" w:hAnsi="Times New Roman"/>
          <w:sz w:val="24"/>
          <w:szCs w:val="24"/>
          <w:lang w:val="es-US"/>
        </w:rPr>
      </w:pPr>
      <w:bookmarkStart w:id="3" w:name="_Toc511499885"/>
    </w:p>
    <w:p w14:paraId="0FD96858" w14:textId="6164F5FD" w:rsidR="00AD2881" w:rsidRPr="005E1068" w:rsidRDefault="00E56C6A" w:rsidP="004C7D64">
      <w:pPr>
        <w:spacing w:after="0" w:line="276" w:lineRule="auto"/>
        <w:jc w:val="both"/>
        <w:rPr>
          <w:rFonts w:ascii="Times New Roman" w:hAnsi="Times New Roman"/>
          <w:sz w:val="24"/>
          <w:szCs w:val="24"/>
          <w:lang w:val="es-US"/>
        </w:rPr>
      </w:pPr>
      <w:r w:rsidRPr="005E1068">
        <w:rPr>
          <w:rFonts w:ascii="Times New Roman" w:hAnsi="Times New Roman"/>
          <w:b/>
          <w:sz w:val="24"/>
          <w:szCs w:val="24"/>
          <w:lang w:val="es-ES_tradnl"/>
        </w:rPr>
        <w:t>Introducción:</w:t>
      </w:r>
      <w:r w:rsidRPr="005E1068">
        <w:rPr>
          <w:rFonts w:ascii="Times New Roman" w:hAnsi="Times New Roman"/>
          <w:sz w:val="24"/>
          <w:szCs w:val="24"/>
          <w:lang w:val="es-US"/>
        </w:rPr>
        <w:t xml:space="preserve"> </w:t>
      </w:r>
      <w:r w:rsidR="00AD2881" w:rsidRPr="005E1068">
        <w:rPr>
          <w:rFonts w:ascii="Times New Roman" w:hAnsi="Times New Roman"/>
          <w:sz w:val="24"/>
          <w:szCs w:val="24"/>
          <w:lang w:val="es-US"/>
        </w:rPr>
        <w:t xml:space="preserve">Durante las últimas décadas, una epidemia de enfermedad renal crónica (ERC) de consecuencias devastadoras ha tenido lugar en El Salvador. Una parte importante de los sujetos afectados, no padece de una causa </w:t>
      </w:r>
      <w:r w:rsidR="007603D4" w:rsidRPr="005E1068">
        <w:rPr>
          <w:rFonts w:ascii="Times New Roman" w:hAnsi="Times New Roman"/>
          <w:sz w:val="24"/>
          <w:szCs w:val="24"/>
          <w:lang w:val="es-US"/>
        </w:rPr>
        <w:t>frecuente para padecer</w:t>
      </w:r>
      <w:r w:rsidR="00AD2881" w:rsidRPr="005E1068">
        <w:rPr>
          <w:rFonts w:ascii="Times New Roman" w:hAnsi="Times New Roman"/>
          <w:sz w:val="24"/>
          <w:szCs w:val="24"/>
          <w:lang w:val="es-US"/>
        </w:rPr>
        <w:t xml:space="preserve"> enfermedad renal crónica, tal como como diabetes e hipertensión. En </w:t>
      </w:r>
      <w:r w:rsidR="00AD2881" w:rsidRPr="005E1068">
        <w:rPr>
          <w:rFonts w:ascii="Times New Roman" w:hAnsi="Times New Roman"/>
          <w:sz w:val="24"/>
          <w:szCs w:val="24"/>
        </w:rPr>
        <w:t xml:space="preserve">tal caso, suele distinguirse la dolencia mediante el nombre de Enfermedad Renal Crónica de Causas no Tradicionales (ERCnT). </w:t>
      </w:r>
      <w:r w:rsidR="00AD2881" w:rsidRPr="005E1068">
        <w:rPr>
          <w:rFonts w:ascii="Times New Roman" w:hAnsi="Times New Roman"/>
          <w:sz w:val="24"/>
          <w:szCs w:val="24"/>
          <w:lang w:val="es-US"/>
        </w:rPr>
        <w:t>Estudios previos muestran una alta prevalencia de exposición a agroquímicos en las poblaciones afectadas, particularmente en las zonas rurales. Además de la exposición sostenida a agroquímicos, la otra hipótesis principal para explicar esta epidemia es la exposición prolongada a altas temperaturas y deshidratación, en un contexto de trabajo agrícola agotador.</w:t>
      </w:r>
    </w:p>
    <w:p w14:paraId="3FC56C3E" w14:textId="6549D90F" w:rsidR="004C7D64" w:rsidRPr="005E1068" w:rsidRDefault="00607064" w:rsidP="00B411B0">
      <w:pPr>
        <w:pStyle w:val="Textoindependiente"/>
        <w:spacing w:before="120"/>
        <w:jc w:val="both"/>
        <w:rPr>
          <w:spacing w:val="4"/>
          <w:lang w:val="es-ES"/>
        </w:rPr>
      </w:pPr>
      <w:r w:rsidRPr="005E1068">
        <w:rPr>
          <w:b/>
          <w:lang w:val="es-ES_tradnl"/>
        </w:rPr>
        <w:t>Objetivos</w:t>
      </w:r>
      <w:r w:rsidRPr="005E1068">
        <w:rPr>
          <w:lang w:val="es-ES_tradnl"/>
        </w:rPr>
        <w:t xml:space="preserve">: </w:t>
      </w:r>
      <w:r w:rsidR="004C7D64" w:rsidRPr="005E1068">
        <w:rPr>
          <w:lang w:val="es-ES_tradnl"/>
        </w:rPr>
        <w:t xml:space="preserve">Evaluar el posible efecto causal de la exposición a agroquímicos </w:t>
      </w:r>
      <w:r w:rsidR="004C7D64" w:rsidRPr="005E1068">
        <w:rPr>
          <w:spacing w:val="4"/>
          <w:lang w:val="es-ES"/>
        </w:rPr>
        <w:t>en la irrupción de la epidemia de ERC en la población adulta de El Salvador.</w:t>
      </w:r>
    </w:p>
    <w:p w14:paraId="5AA7C24E" w14:textId="3F62541A" w:rsidR="004C7D64" w:rsidRPr="005E1068" w:rsidRDefault="00607064" w:rsidP="004A1737">
      <w:pPr>
        <w:pStyle w:val="Textoindependiente"/>
        <w:spacing w:before="120"/>
        <w:jc w:val="both"/>
        <w:rPr>
          <w:lang w:val="es-US"/>
        </w:rPr>
      </w:pPr>
      <w:r w:rsidRPr="005E1068">
        <w:rPr>
          <w:b/>
          <w:lang w:val="es-ES_tradnl"/>
        </w:rPr>
        <w:t>Método</w:t>
      </w:r>
      <w:r w:rsidRPr="005E1068">
        <w:rPr>
          <w:lang w:val="es-ES_tradnl"/>
        </w:rPr>
        <w:t xml:space="preserve">: </w:t>
      </w:r>
      <w:r w:rsidR="004C7D64" w:rsidRPr="005E1068">
        <w:rPr>
          <w:lang w:val="es-ES_tradnl"/>
        </w:rPr>
        <w:t>Se realizó un estudio de casos y controles, a partir de la Encuesta de Enfermedades Crónicas no Transmisibles en Adultos en El Salvador, basada en una muestra probabilística nacional que abarcó 4,817 adultos de 20 o más año</w:t>
      </w:r>
      <w:r w:rsidRPr="005E1068">
        <w:rPr>
          <w:lang w:val="es-ES_tradnl"/>
        </w:rPr>
        <w:t>s de edad, concluida en 2015.  Fueron</w:t>
      </w:r>
      <w:r w:rsidR="004C7D64" w:rsidRPr="005E1068">
        <w:rPr>
          <w:lang w:val="es-ES_tradnl"/>
        </w:rPr>
        <w:t xml:space="preserve"> considerados </w:t>
      </w:r>
      <w:r w:rsidRPr="005E1068">
        <w:rPr>
          <w:lang w:val="es-ES_tradnl"/>
        </w:rPr>
        <w:t>“</w:t>
      </w:r>
      <w:r w:rsidR="004C7D64" w:rsidRPr="005E1068">
        <w:rPr>
          <w:lang w:val="es-ES_tradnl"/>
        </w:rPr>
        <w:t>casos</w:t>
      </w:r>
      <w:r w:rsidRPr="005E1068">
        <w:rPr>
          <w:lang w:val="es-ES_tradnl"/>
        </w:rPr>
        <w:t>”</w:t>
      </w:r>
      <w:r w:rsidR="004C7D64" w:rsidRPr="005E1068">
        <w:rPr>
          <w:lang w:val="es-ES_tradnl"/>
        </w:rPr>
        <w:t xml:space="preserve"> todos aquellos que padecían ERC; el resto </w:t>
      </w:r>
      <w:r w:rsidRPr="005E1068">
        <w:rPr>
          <w:lang w:val="es-ES_tradnl"/>
        </w:rPr>
        <w:t xml:space="preserve">dos restantes participantes </w:t>
      </w:r>
      <w:r w:rsidR="004C7D64" w:rsidRPr="005E1068">
        <w:rPr>
          <w:lang w:val="es-ES_tradnl"/>
        </w:rPr>
        <w:t xml:space="preserve">se </w:t>
      </w:r>
      <w:r w:rsidRPr="005E1068">
        <w:rPr>
          <w:lang w:val="es-ES_tradnl"/>
        </w:rPr>
        <w:t>manejaron</w:t>
      </w:r>
      <w:r w:rsidR="004C7D64" w:rsidRPr="005E1068">
        <w:rPr>
          <w:lang w:val="es-ES_tradnl"/>
        </w:rPr>
        <w:t xml:space="preserve"> como controles. </w:t>
      </w:r>
      <w:r w:rsidR="007603D4" w:rsidRPr="005E1068">
        <w:rPr>
          <w:lang w:val="es-ES_tradnl"/>
        </w:rPr>
        <w:t xml:space="preserve"> </w:t>
      </w:r>
      <w:r w:rsidR="004C7D64" w:rsidRPr="005E1068">
        <w:rPr>
          <w:lang w:val="es-ES_tradnl"/>
        </w:rPr>
        <w:t>Se registraron las exposiciones a agroquímicos, así como a otros factores de riesgo y condiciones de salud</w:t>
      </w:r>
      <w:r w:rsidR="007603D4" w:rsidRPr="005E1068">
        <w:rPr>
          <w:lang w:val="es-ES_tradnl"/>
        </w:rPr>
        <w:t xml:space="preserve"> según testimonio de los participantes</w:t>
      </w:r>
      <w:r w:rsidR="004C7D64" w:rsidRPr="005E1068">
        <w:rPr>
          <w:lang w:val="es-ES_tradnl"/>
        </w:rPr>
        <w:t xml:space="preserve">. Para las exposiciones binarias, se estimó la razón de </w:t>
      </w:r>
      <w:proofErr w:type="spellStart"/>
      <w:r w:rsidR="004C7D64" w:rsidRPr="005E1068">
        <w:rPr>
          <w:lang w:val="es-ES_tradnl"/>
        </w:rPr>
        <w:t>odds</w:t>
      </w:r>
      <w:proofErr w:type="spellEnd"/>
      <w:r w:rsidR="004C7D64" w:rsidRPr="005E1068">
        <w:rPr>
          <w:lang w:val="es-ES_tradnl"/>
        </w:rPr>
        <w:t xml:space="preserve"> (OR) con respecto a padecer ERC y ERCnT. Para las variables que medían la duración de la exposición, se compararon los valores </w:t>
      </w:r>
      <w:r w:rsidR="007603D4" w:rsidRPr="005E1068">
        <w:rPr>
          <w:lang w:val="es-ES_tradnl"/>
        </w:rPr>
        <w:t>medios</w:t>
      </w:r>
      <w:r w:rsidR="004C7D64" w:rsidRPr="005E1068">
        <w:rPr>
          <w:lang w:val="es-ES_tradnl"/>
        </w:rPr>
        <w:t xml:space="preserve"> para casos y controles. En todos los casos, se calcularon los </w:t>
      </w:r>
      <w:r w:rsidR="007603D4" w:rsidRPr="005E1068">
        <w:rPr>
          <w:lang w:val="es-ES_tradnl"/>
        </w:rPr>
        <w:t xml:space="preserve">respectivos </w:t>
      </w:r>
      <w:r w:rsidR="004C7D64" w:rsidRPr="005E1068">
        <w:rPr>
          <w:lang w:val="es-ES_tradnl"/>
        </w:rPr>
        <w:t xml:space="preserve">intervalos de confianza al 95%. Se utilizó la regresión logística multivariada para examinar la asociación entre la exposición a agroquímicos y la ERC, controlando las posibles variables </w:t>
      </w:r>
      <w:proofErr w:type="spellStart"/>
      <w:r w:rsidR="004C7D64" w:rsidRPr="005E1068">
        <w:rPr>
          <w:lang w:val="es-ES_tradnl"/>
        </w:rPr>
        <w:t>confusoras</w:t>
      </w:r>
      <w:proofErr w:type="spellEnd"/>
      <w:r w:rsidR="004C7D64" w:rsidRPr="005E1068">
        <w:rPr>
          <w:lang w:val="es-ES_tradnl"/>
        </w:rPr>
        <w:t>.</w:t>
      </w:r>
    </w:p>
    <w:p w14:paraId="70D614F5" w14:textId="77777777" w:rsidR="004C7D64" w:rsidRPr="005E1068" w:rsidRDefault="004C7D64" w:rsidP="004C7D64">
      <w:pPr>
        <w:spacing w:after="0" w:line="240" w:lineRule="auto"/>
        <w:rPr>
          <w:rFonts w:ascii="Times New Roman" w:hAnsi="Times New Roman"/>
          <w:sz w:val="24"/>
          <w:szCs w:val="24"/>
        </w:rPr>
      </w:pPr>
    </w:p>
    <w:p w14:paraId="645EF16C" w14:textId="7052073F" w:rsidR="004C7D64" w:rsidRPr="005E1068" w:rsidRDefault="00E56C6A" w:rsidP="004C7D64">
      <w:pPr>
        <w:spacing w:after="0" w:line="276" w:lineRule="auto"/>
        <w:jc w:val="both"/>
        <w:rPr>
          <w:rFonts w:ascii="Times New Roman" w:hAnsi="Times New Roman"/>
          <w:sz w:val="24"/>
          <w:szCs w:val="24"/>
        </w:rPr>
      </w:pPr>
      <w:r w:rsidRPr="005E1068">
        <w:rPr>
          <w:rFonts w:ascii="Times New Roman" w:hAnsi="Times New Roman"/>
          <w:b/>
          <w:sz w:val="24"/>
          <w:szCs w:val="24"/>
          <w:lang w:val="es-ES_tradnl"/>
        </w:rPr>
        <w:t>Resultados:</w:t>
      </w:r>
      <w:r w:rsidRPr="005E1068">
        <w:rPr>
          <w:rFonts w:ascii="Times New Roman" w:hAnsi="Times New Roman"/>
          <w:sz w:val="24"/>
          <w:szCs w:val="24"/>
        </w:rPr>
        <w:t xml:space="preserve"> </w:t>
      </w:r>
      <w:r w:rsidR="004C7D64" w:rsidRPr="005E1068">
        <w:rPr>
          <w:rFonts w:ascii="Times New Roman" w:hAnsi="Times New Roman"/>
          <w:sz w:val="24"/>
          <w:szCs w:val="24"/>
        </w:rPr>
        <w:t xml:space="preserve">Independientemente de cómo </w:t>
      </w:r>
      <w:r w:rsidRPr="005E1068">
        <w:rPr>
          <w:rFonts w:ascii="Times New Roman" w:hAnsi="Times New Roman"/>
          <w:sz w:val="24"/>
          <w:szCs w:val="24"/>
        </w:rPr>
        <w:t>fuera caracterizada</w:t>
      </w:r>
      <w:r w:rsidR="004C7D64" w:rsidRPr="005E1068">
        <w:rPr>
          <w:rFonts w:ascii="Times New Roman" w:hAnsi="Times New Roman"/>
          <w:sz w:val="24"/>
          <w:szCs w:val="24"/>
        </w:rPr>
        <w:t xml:space="preserve"> la exposición pasada a agroquímicos (por ejemplo, contacto con </w:t>
      </w:r>
      <w:proofErr w:type="spellStart"/>
      <w:r w:rsidR="004C7D64" w:rsidRPr="005E1068">
        <w:rPr>
          <w:rFonts w:ascii="Times New Roman" w:hAnsi="Times New Roman"/>
          <w:sz w:val="24"/>
          <w:szCs w:val="24"/>
        </w:rPr>
        <w:t>paraquat</w:t>
      </w:r>
      <w:proofErr w:type="spellEnd"/>
      <w:r w:rsidR="004C7D64" w:rsidRPr="005E1068">
        <w:rPr>
          <w:rFonts w:ascii="Times New Roman" w:hAnsi="Times New Roman"/>
          <w:sz w:val="24"/>
          <w:szCs w:val="24"/>
        </w:rPr>
        <w:t xml:space="preserve"> o fumigación aérea), el OR de ERC y ERCnT siempre fue mayor que 1.0 (rango, 1.36 a 3.75). Del mismo modo, la media de </w:t>
      </w:r>
      <w:r w:rsidR="004C7D64" w:rsidRPr="005E1068">
        <w:rPr>
          <w:rFonts w:ascii="Times New Roman" w:hAnsi="Times New Roman"/>
          <w:sz w:val="24"/>
          <w:szCs w:val="24"/>
        </w:rPr>
        <w:lastRenderedPageBreak/>
        <w:t>años de exposición fue consistentemente más alta para los casos que para los controles, para todas las variables continuas examinadas (más de 2 años en la mayoría de los casos).</w:t>
      </w:r>
    </w:p>
    <w:p w14:paraId="791A9CC6" w14:textId="77777777" w:rsidR="004C7D64" w:rsidRPr="005E1068" w:rsidRDefault="004C7D64" w:rsidP="00772B81">
      <w:pPr>
        <w:spacing w:after="0" w:line="360" w:lineRule="auto"/>
        <w:jc w:val="both"/>
        <w:rPr>
          <w:rFonts w:ascii="Times New Roman" w:hAnsi="Times New Roman"/>
          <w:sz w:val="24"/>
          <w:szCs w:val="24"/>
        </w:rPr>
      </w:pPr>
    </w:p>
    <w:p w14:paraId="39E0232A" w14:textId="59AE76F5" w:rsidR="004C7D64" w:rsidRPr="005E1068" w:rsidRDefault="00E56C6A" w:rsidP="004C7D64">
      <w:pPr>
        <w:spacing w:after="0" w:line="240" w:lineRule="auto"/>
        <w:rPr>
          <w:rFonts w:ascii="Times New Roman" w:hAnsi="Times New Roman"/>
          <w:sz w:val="24"/>
          <w:szCs w:val="24"/>
        </w:rPr>
      </w:pPr>
      <w:r w:rsidRPr="005E1068">
        <w:rPr>
          <w:rFonts w:ascii="Times New Roman" w:hAnsi="Times New Roman"/>
          <w:b/>
          <w:sz w:val="24"/>
          <w:szCs w:val="24"/>
          <w:lang w:val="es-ES_tradnl"/>
        </w:rPr>
        <w:t>Conclusiones:</w:t>
      </w:r>
      <w:r w:rsidRPr="005E1068">
        <w:rPr>
          <w:rFonts w:ascii="Times New Roman" w:hAnsi="Times New Roman"/>
          <w:sz w:val="24"/>
          <w:szCs w:val="24"/>
        </w:rPr>
        <w:t xml:space="preserve"> </w:t>
      </w:r>
      <w:r w:rsidR="004C7D64" w:rsidRPr="005E1068">
        <w:rPr>
          <w:rFonts w:ascii="Times New Roman" w:hAnsi="Times New Roman"/>
          <w:sz w:val="24"/>
          <w:szCs w:val="24"/>
        </w:rPr>
        <w:t xml:space="preserve">Los resultados de este estudio son consistentes con la evidencia epidemiológica y toxicológica previa y respaldan la hipótesis de que la exposición a agroquímicos puede estar causalmente implicada en la epidemia de ERC </w:t>
      </w:r>
      <w:r w:rsidRPr="005E1068">
        <w:rPr>
          <w:rFonts w:ascii="Times New Roman" w:hAnsi="Times New Roman"/>
          <w:sz w:val="24"/>
          <w:szCs w:val="24"/>
        </w:rPr>
        <w:t>que se registra</w:t>
      </w:r>
      <w:r w:rsidR="004C7D64" w:rsidRPr="005E1068">
        <w:rPr>
          <w:rFonts w:ascii="Times New Roman" w:hAnsi="Times New Roman"/>
          <w:sz w:val="24"/>
          <w:szCs w:val="24"/>
        </w:rPr>
        <w:t xml:space="preserve"> en El Salvador.</w:t>
      </w:r>
    </w:p>
    <w:p w14:paraId="5449776F" w14:textId="0D04FB26" w:rsidR="004C7D64" w:rsidRPr="005E1068" w:rsidRDefault="004C7D64" w:rsidP="00772B81">
      <w:pPr>
        <w:spacing w:after="0" w:line="360" w:lineRule="auto"/>
        <w:jc w:val="both"/>
        <w:rPr>
          <w:rFonts w:ascii="Times New Roman" w:hAnsi="Times New Roman"/>
          <w:sz w:val="24"/>
          <w:szCs w:val="24"/>
          <w:lang w:val="es-US"/>
        </w:rPr>
      </w:pPr>
    </w:p>
    <w:p w14:paraId="1323922F" w14:textId="3BCF599A" w:rsidR="004C7D64" w:rsidRPr="005E1068" w:rsidRDefault="004C7D64" w:rsidP="00B411B0">
      <w:pPr>
        <w:spacing w:after="0" w:line="240" w:lineRule="auto"/>
        <w:jc w:val="both"/>
        <w:rPr>
          <w:rFonts w:ascii="Times New Roman" w:hAnsi="Times New Roman"/>
          <w:b/>
          <w:sz w:val="24"/>
          <w:szCs w:val="24"/>
          <w:lang w:val="es-ES_tradnl"/>
        </w:rPr>
      </w:pPr>
      <w:r w:rsidRPr="005E1068">
        <w:rPr>
          <w:rFonts w:ascii="Times New Roman" w:hAnsi="Times New Roman"/>
          <w:b/>
          <w:sz w:val="24"/>
          <w:szCs w:val="24"/>
          <w:lang w:val="es-ES_tradnl"/>
        </w:rPr>
        <w:t>Palabras clave:</w:t>
      </w:r>
      <w:r w:rsidR="00E56C6A" w:rsidRPr="005E1068">
        <w:rPr>
          <w:rFonts w:ascii="Times New Roman" w:hAnsi="Times New Roman"/>
          <w:b/>
          <w:sz w:val="24"/>
          <w:szCs w:val="24"/>
          <w:lang w:val="es-ES_tradnl"/>
        </w:rPr>
        <w:t xml:space="preserve"> </w:t>
      </w:r>
      <w:r w:rsidR="00E56C6A" w:rsidRPr="005E1068">
        <w:rPr>
          <w:rFonts w:ascii="Times New Roman" w:hAnsi="Times New Roman"/>
          <w:sz w:val="24"/>
          <w:szCs w:val="24"/>
          <w:lang w:val="es-ES_tradnl"/>
        </w:rPr>
        <w:t xml:space="preserve">enfermedad renal crónica, agroquímicos, epidemia, El Salvador, </w:t>
      </w:r>
      <w:r w:rsidR="004A1737" w:rsidRPr="005E1068">
        <w:rPr>
          <w:rFonts w:ascii="Times New Roman" w:hAnsi="Times New Roman"/>
          <w:sz w:val="24"/>
          <w:szCs w:val="24"/>
          <w:lang w:val="es-ES_tradnl"/>
        </w:rPr>
        <w:t>e</w:t>
      </w:r>
      <w:r w:rsidR="00E56C6A" w:rsidRPr="005E1068">
        <w:rPr>
          <w:rFonts w:ascii="Times New Roman" w:hAnsi="Times New Roman"/>
          <w:sz w:val="24"/>
          <w:szCs w:val="24"/>
          <w:lang w:val="es-ES_tradnl"/>
        </w:rPr>
        <w:t xml:space="preserve">studio de casos y controles, ERCnT, </w:t>
      </w:r>
      <w:proofErr w:type="spellStart"/>
      <w:r w:rsidR="00E56C6A" w:rsidRPr="005E1068">
        <w:rPr>
          <w:rFonts w:ascii="Times New Roman" w:hAnsi="Times New Roman"/>
          <w:sz w:val="24"/>
          <w:szCs w:val="24"/>
          <w:lang w:val="es-ES_tradnl"/>
        </w:rPr>
        <w:t>ERCu</w:t>
      </w:r>
      <w:proofErr w:type="spellEnd"/>
      <w:r w:rsidR="00E56C6A" w:rsidRPr="005E1068">
        <w:rPr>
          <w:rFonts w:ascii="Times New Roman" w:hAnsi="Times New Roman"/>
          <w:sz w:val="24"/>
          <w:szCs w:val="24"/>
          <w:lang w:val="es-ES_tradnl"/>
        </w:rPr>
        <w:t>.</w:t>
      </w:r>
    </w:p>
    <w:bookmarkEnd w:id="3"/>
    <w:p w14:paraId="4C7A755D" w14:textId="7698CDC2" w:rsidR="00772B81" w:rsidRPr="005E1068" w:rsidRDefault="00607064" w:rsidP="00607064">
      <w:pPr>
        <w:pStyle w:val="Ttulo1"/>
        <w:spacing w:line="360" w:lineRule="auto"/>
        <w:jc w:val="both"/>
        <w:rPr>
          <w:rFonts w:ascii="Times New Roman" w:hAnsi="Times New Roman"/>
          <w:b/>
          <w:color w:val="auto"/>
          <w:sz w:val="24"/>
          <w:szCs w:val="24"/>
          <w:lang w:val="es-ES_tradnl"/>
        </w:rPr>
      </w:pPr>
      <w:r w:rsidRPr="005E1068">
        <w:rPr>
          <w:rFonts w:ascii="Times New Roman" w:hAnsi="Times New Roman"/>
          <w:b/>
          <w:color w:val="auto"/>
          <w:sz w:val="24"/>
          <w:szCs w:val="24"/>
          <w:lang w:val="es-ES_tradnl"/>
        </w:rPr>
        <w:t>Introducción</w:t>
      </w:r>
    </w:p>
    <w:p w14:paraId="5600B872" w14:textId="3238BF37" w:rsidR="0065634F" w:rsidRPr="005E1068" w:rsidRDefault="0065634F" w:rsidP="00607064">
      <w:pPr>
        <w:spacing w:line="276" w:lineRule="auto"/>
        <w:jc w:val="both"/>
        <w:rPr>
          <w:rFonts w:ascii="Times New Roman" w:hAnsi="Times New Roman"/>
          <w:sz w:val="24"/>
          <w:szCs w:val="24"/>
        </w:rPr>
      </w:pPr>
      <w:r w:rsidRPr="005E1068">
        <w:rPr>
          <w:rFonts w:ascii="Times New Roman" w:hAnsi="Times New Roman"/>
          <w:sz w:val="24"/>
          <w:szCs w:val="24"/>
        </w:rPr>
        <w:t xml:space="preserve">La Enfermedad Renal Crónica (ERC) se reconoce actualmente como un importante problema de salud a nivel global, no solo por su elevada prevalencia e incidencia, sino </w:t>
      </w:r>
      <w:r w:rsidR="00607064" w:rsidRPr="005E1068">
        <w:rPr>
          <w:rFonts w:ascii="Times New Roman" w:hAnsi="Times New Roman"/>
          <w:sz w:val="24"/>
          <w:szCs w:val="24"/>
        </w:rPr>
        <w:t xml:space="preserve">también </w:t>
      </w:r>
      <w:r w:rsidRPr="005E1068">
        <w:rPr>
          <w:rFonts w:ascii="Times New Roman" w:hAnsi="Times New Roman"/>
          <w:sz w:val="24"/>
          <w:szCs w:val="24"/>
        </w:rPr>
        <w:t>por su notable aporte a la mortalidad prematura, sobre todo en los países de bajos y medianos ingresos</w:t>
      </w:r>
      <w:r w:rsidR="00607064" w:rsidRPr="005E1068">
        <w:rPr>
          <w:rFonts w:ascii="Times New Roman" w:hAnsi="Times New Roman"/>
          <w:sz w:val="24"/>
          <w:szCs w:val="24"/>
        </w:rPr>
        <w:t>.</w:t>
      </w:r>
      <w:r w:rsidRPr="005E1068">
        <w:rPr>
          <w:rStyle w:val="Refdenotaalfinal"/>
          <w:rFonts w:ascii="Times New Roman" w:hAnsi="Times New Roman"/>
          <w:spacing w:val="4"/>
          <w:sz w:val="24"/>
          <w:szCs w:val="24"/>
          <w:lang w:val="en-US"/>
        </w:rPr>
        <w:endnoteReference w:id="1"/>
      </w:r>
    </w:p>
    <w:p w14:paraId="499CF703" w14:textId="0E9691A2" w:rsidR="0065634F" w:rsidRPr="005E1068" w:rsidRDefault="0065634F" w:rsidP="007603D4">
      <w:pPr>
        <w:spacing w:line="276" w:lineRule="auto"/>
        <w:jc w:val="both"/>
        <w:rPr>
          <w:rFonts w:ascii="Times New Roman" w:hAnsi="Times New Roman"/>
          <w:sz w:val="24"/>
          <w:szCs w:val="24"/>
        </w:rPr>
      </w:pPr>
      <w:r w:rsidRPr="005E1068">
        <w:rPr>
          <w:rFonts w:ascii="Times New Roman" w:hAnsi="Times New Roman"/>
          <w:sz w:val="24"/>
          <w:szCs w:val="24"/>
        </w:rPr>
        <w:t>La región de las Américas tiene la más alta tasa de mortalidad por ERC a nivel mundial, al tiempo que la enfermedad es la segunda causa de a</w:t>
      </w:r>
      <w:r w:rsidR="00607064" w:rsidRPr="005E1068">
        <w:rPr>
          <w:rFonts w:ascii="Times New Roman" w:hAnsi="Times New Roman"/>
          <w:sz w:val="24"/>
          <w:szCs w:val="24"/>
        </w:rPr>
        <w:t>ños de vida potencial perdidos.</w:t>
      </w:r>
      <w:r w:rsidRPr="005E1068">
        <w:rPr>
          <w:rStyle w:val="Refdenotaalfinal"/>
          <w:rFonts w:ascii="Times New Roman" w:hAnsi="Times New Roman"/>
          <w:spacing w:val="4"/>
          <w:sz w:val="24"/>
          <w:szCs w:val="24"/>
          <w:lang w:val="es-ES_tradnl"/>
        </w:rPr>
        <w:endnoteReference w:id="2"/>
      </w:r>
      <w:r w:rsidRPr="005E1068">
        <w:rPr>
          <w:rFonts w:ascii="Times New Roman" w:hAnsi="Times New Roman"/>
          <w:sz w:val="24"/>
          <w:szCs w:val="24"/>
        </w:rPr>
        <w:t xml:space="preserve"> En El Salvador, la insuficiencia renal crónica constituyó la primera causa según este indicador en el periodo de 2011- 2015.</w:t>
      </w:r>
      <w:r w:rsidRPr="005E1068">
        <w:rPr>
          <w:rStyle w:val="Refdenotaalfinal"/>
          <w:rFonts w:ascii="Times New Roman" w:hAnsi="Times New Roman"/>
          <w:spacing w:val="4"/>
          <w:sz w:val="24"/>
          <w:szCs w:val="24"/>
          <w:lang w:val="es-ES_tradnl"/>
        </w:rPr>
        <w:t xml:space="preserve"> </w:t>
      </w:r>
      <w:r w:rsidRPr="005E1068">
        <w:rPr>
          <w:rStyle w:val="Refdenotaalfinal"/>
          <w:rFonts w:ascii="Times New Roman" w:hAnsi="Times New Roman"/>
          <w:spacing w:val="4"/>
          <w:sz w:val="24"/>
          <w:szCs w:val="24"/>
          <w:lang w:val="es-ES_tradnl"/>
        </w:rPr>
        <w:endnoteReference w:id="3"/>
      </w:r>
    </w:p>
    <w:p w14:paraId="1EADC3DB" w14:textId="516E4695" w:rsidR="0065634F" w:rsidRPr="005E1068" w:rsidRDefault="0065634F" w:rsidP="00726699">
      <w:pPr>
        <w:pStyle w:val="Textoindependiente"/>
        <w:spacing w:after="0" w:line="276" w:lineRule="auto"/>
        <w:jc w:val="both"/>
        <w:rPr>
          <w:color w:val="231F20"/>
          <w:spacing w:val="4"/>
          <w:lang w:val="es-ES"/>
        </w:rPr>
      </w:pPr>
      <w:r w:rsidRPr="005E1068">
        <w:rPr>
          <w:color w:val="231F20"/>
          <w:spacing w:val="4"/>
          <w:lang w:val="es-ES"/>
        </w:rPr>
        <w:t xml:space="preserve">El comportamiento epidemiológico de la ERC en la región tiene características singulares. Las elevadísimas tasas de prevalencia y de mortalidad en varios países centroamericanos son más prominentes en personas menores de </w:t>
      </w:r>
      <w:r w:rsidR="007603D4" w:rsidRPr="005E1068">
        <w:rPr>
          <w:color w:val="231F20"/>
          <w:spacing w:val="4"/>
          <w:lang w:val="es-ES"/>
        </w:rPr>
        <w:t>60 años, especialmente hombres.</w:t>
      </w:r>
      <w:r w:rsidRPr="005E1068">
        <w:rPr>
          <w:rStyle w:val="Refdenotaalfinal"/>
          <w:spacing w:val="4"/>
        </w:rPr>
        <w:endnoteReference w:id="4"/>
      </w:r>
      <w:r w:rsidRPr="005E1068">
        <w:rPr>
          <w:rStyle w:val="Refdenotaalfinal"/>
          <w:lang w:val="es-ES"/>
        </w:rPr>
        <w:t xml:space="preserve"> </w:t>
      </w:r>
      <w:r w:rsidRPr="005E1068">
        <w:rPr>
          <w:rStyle w:val="Refdenotaalfinal"/>
          <w:spacing w:val="4"/>
        </w:rPr>
        <w:endnoteReference w:id="5"/>
      </w:r>
      <w:r w:rsidRPr="005E1068">
        <w:rPr>
          <w:lang w:val="es-ES"/>
        </w:rPr>
        <w:t xml:space="preserve"> </w:t>
      </w:r>
      <w:r w:rsidRPr="005E1068">
        <w:rPr>
          <w:color w:val="231F20"/>
          <w:spacing w:val="4"/>
          <w:lang w:val="es-ES"/>
        </w:rPr>
        <w:t>Aproximadamente un tercio de los afectados padece de una ERC que no puede ser atribuida a las condiciones etiológicas que típicamente preceden al daño renal crónico (principalmente hipertensión y diabetes).</w:t>
      </w:r>
      <w:r w:rsidRPr="005E1068">
        <w:rPr>
          <w:rStyle w:val="Refdenotaalfinal"/>
          <w:spacing w:val="4"/>
        </w:rPr>
        <w:endnoteReference w:id="6"/>
      </w:r>
    </w:p>
    <w:p w14:paraId="72EC7F89" w14:textId="5B5B6997" w:rsidR="0062090C" w:rsidRPr="005E1068" w:rsidRDefault="0062090C" w:rsidP="0062090C">
      <w:pPr>
        <w:rPr>
          <w:rFonts w:ascii="Times New Roman" w:hAnsi="Times New Roman"/>
          <w:lang w:val="es-US"/>
        </w:rPr>
      </w:pPr>
    </w:p>
    <w:p w14:paraId="5CEEBF76" w14:textId="755EC553" w:rsidR="0062090C" w:rsidRPr="005E1068" w:rsidRDefault="0062090C" w:rsidP="00726699">
      <w:pPr>
        <w:spacing w:line="276" w:lineRule="auto"/>
        <w:jc w:val="both"/>
        <w:rPr>
          <w:rFonts w:ascii="Times New Roman" w:hAnsi="Times New Roman"/>
          <w:sz w:val="24"/>
          <w:szCs w:val="24"/>
        </w:rPr>
      </w:pPr>
      <w:r w:rsidRPr="005E1068">
        <w:rPr>
          <w:rFonts w:ascii="Times New Roman" w:hAnsi="Times New Roman"/>
          <w:sz w:val="24"/>
          <w:szCs w:val="24"/>
        </w:rPr>
        <w:t xml:space="preserve">Esta modalidad, una nefritis intersticial crónica que se ha denominado </w:t>
      </w:r>
      <w:r w:rsidR="00062BB9" w:rsidRPr="005E1068">
        <w:rPr>
          <w:rFonts w:ascii="Times New Roman" w:hAnsi="Times New Roman"/>
          <w:sz w:val="24"/>
          <w:szCs w:val="24"/>
        </w:rPr>
        <w:t>Enfermedad Renal Crónica de Causas no Tradicionales (ERCnT) o de causas desconocidas (</w:t>
      </w:r>
      <w:proofErr w:type="spellStart"/>
      <w:r w:rsidR="00062BB9" w:rsidRPr="005E1068">
        <w:rPr>
          <w:rFonts w:ascii="Times New Roman" w:hAnsi="Times New Roman"/>
          <w:sz w:val="24"/>
          <w:szCs w:val="24"/>
        </w:rPr>
        <w:t>CKDu</w:t>
      </w:r>
      <w:proofErr w:type="spellEnd"/>
      <w:r w:rsidR="00062BB9" w:rsidRPr="005E1068">
        <w:rPr>
          <w:rFonts w:ascii="Times New Roman" w:hAnsi="Times New Roman"/>
          <w:sz w:val="24"/>
          <w:szCs w:val="24"/>
        </w:rPr>
        <w:t>)</w:t>
      </w:r>
      <w:r w:rsidRPr="005E1068">
        <w:rPr>
          <w:rFonts w:ascii="Times New Roman" w:hAnsi="Times New Roman"/>
          <w:sz w:val="24"/>
          <w:szCs w:val="24"/>
        </w:rPr>
        <w:t>, ha sido identificada por la Organización Mundial de la Salud (OMS) como un p</w:t>
      </w:r>
      <w:r w:rsidR="00062BB9" w:rsidRPr="005E1068">
        <w:rPr>
          <w:rFonts w:ascii="Times New Roman" w:hAnsi="Times New Roman"/>
          <w:sz w:val="24"/>
          <w:szCs w:val="24"/>
        </w:rPr>
        <w:t>roblema epidémico que confiere c</w:t>
      </w:r>
      <w:r w:rsidRPr="005E1068">
        <w:rPr>
          <w:rFonts w:ascii="Times New Roman" w:hAnsi="Times New Roman"/>
          <w:sz w:val="24"/>
          <w:szCs w:val="24"/>
        </w:rPr>
        <w:t>onnotación espec</w:t>
      </w:r>
      <w:r w:rsidR="00234480" w:rsidRPr="005E1068">
        <w:rPr>
          <w:rFonts w:ascii="Times New Roman" w:hAnsi="Times New Roman"/>
          <w:sz w:val="24"/>
          <w:szCs w:val="24"/>
        </w:rPr>
        <w:t>ial a esta emergencia de salud.</w:t>
      </w:r>
      <w:r w:rsidR="00062BB9" w:rsidRPr="005E1068">
        <w:rPr>
          <w:rStyle w:val="Refdenotaalfinal"/>
          <w:rFonts w:ascii="Times New Roman" w:hAnsi="Times New Roman"/>
          <w:spacing w:val="4"/>
          <w:sz w:val="24"/>
          <w:szCs w:val="24"/>
          <w:lang w:val="en-US"/>
        </w:rPr>
        <w:endnoteReference w:id="7"/>
      </w:r>
      <w:r w:rsidR="00062BB9" w:rsidRPr="005E1068">
        <w:rPr>
          <w:rStyle w:val="Refdenotaalfinal"/>
          <w:rFonts w:ascii="Times New Roman" w:hAnsi="Times New Roman"/>
          <w:spacing w:val="4"/>
        </w:rPr>
        <w:t xml:space="preserve"> </w:t>
      </w:r>
      <w:r w:rsidR="00062BB9" w:rsidRPr="005E1068">
        <w:rPr>
          <w:rStyle w:val="Refdenotaalfinal"/>
          <w:rFonts w:ascii="Times New Roman" w:hAnsi="Times New Roman"/>
          <w:spacing w:val="4"/>
          <w:sz w:val="24"/>
          <w:szCs w:val="24"/>
          <w:lang w:val="en-US"/>
        </w:rPr>
        <w:endnoteReference w:id="8"/>
      </w:r>
      <w:r w:rsidR="00062BB9" w:rsidRPr="005E1068">
        <w:rPr>
          <w:rStyle w:val="Refdenotaalfinal"/>
          <w:rFonts w:ascii="Times New Roman" w:hAnsi="Times New Roman"/>
          <w:spacing w:val="4"/>
        </w:rPr>
        <w:t xml:space="preserve"> </w:t>
      </w:r>
      <w:r w:rsidR="00062BB9" w:rsidRPr="005E1068">
        <w:rPr>
          <w:rStyle w:val="Refdenotaalfinal"/>
          <w:rFonts w:ascii="Times New Roman" w:hAnsi="Times New Roman"/>
          <w:spacing w:val="4"/>
          <w:sz w:val="24"/>
          <w:szCs w:val="24"/>
          <w:lang w:val="en-US"/>
        </w:rPr>
        <w:endnoteReference w:id="9"/>
      </w:r>
      <w:r w:rsidR="00062BB9" w:rsidRPr="005E1068">
        <w:rPr>
          <w:rFonts w:ascii="Times New Roman" w:hAnsi="Times New Roman"/>
          <w:sz w:val="24"/>
          <w:szCs w:val="24"/>
        </w:rPr>
        <w:t xml:space="preserve"> </w:t>
      </w:r>
      <w:r w:rsidRPr="005E1068">
        <w:rPr>
          <w:rFonts w:ascii="Times New Roman" w:hAnsi="Times New Roman"/>
          <w:sz w:val="24"/>
          <w:szCs w:val="24"/>
        </w:rPr>
        <w:t>Este fenómeno también ha surgido en otras partes del mundo,</w:t>
      </w:r>
      <w:r w:rsidR="006972F7" w:rsidRPr="005E1068">
        <w:rPr>
          <w:rFonts w:ascii="Times New Roman" w:hAnsi="Times New Roman"/>
          <w:sz w:val="24"/>
          <w:szCs w:val="24"/>
        </w:rPr>
        <w:t xml:space="preserve"> </w:t>
      </w:r>
      <w:r w:rsidR="006972F7" w:rsidRPr="005E1068">
        <w:rPr>
          <w:rStyle w:val="Refdenotaalfinal"/>
          <w:rFonts w:ascii="Times New Roman" w:hAnsi="Times New Roman"/>
          <w:sz w:val="24"/>
          <w:szCs w:val="24"/>
        </w:rPr>
        <w:endnoteReference w:id="10"/>
      </w:r>
      <w:r w:rsidRPr="005E1068">
        <w:rPr>
          <w:rFonts w:ascii="Times New Roman" w:hAnsi="Times New Roman"/>
          <w:sz w:val="24"/>
          <w:szCs w:val="24"/>
        </w:rPr>
        <w:t xml:space="preserve"> con particular intensidad en las áreas agrícolas de Sri Lanka </w:t>
      </w:r>
      <w:r w:rsidR="00062BB9" w:rsidRPr="005E1068">
        <w:rPr>
          <w:rStyle w:val="Refdenotaalfinal"/>
          <w:rFonts w:ascii="Times New Roman" w:hAnsi="Times New Roman"/>
          <w:spacing w:val="4"/>
          <w:sz w:val="24"/>
          <w:szCs w:val="24"/>
          <w:lang w:val="en-US"/>
        </w:rPr>
        <w:endnoteReference w:id="11"/>
      </w:r>
      <w:r w:rsidR="00062BB9" w:rsidRPr="005E1068">
        <w:rPr>
          <w:rStyle w:val="Refdenotaalfinal"/>
          <w:rFonts w:ascii="Times New Roman" w:hAnsi="Times New Roman"/>
          <w:spacing w:val="4"/>
        </w:rPr>
        <w:t xml:space="preserve"> </w:t>
      </w:r>
      <w:r w:rsidR="00062BB9" w:rsidRPr="005E1068">
        <w:rPr>
          <w:rStyle w:val="Refdenotaalfinal"/>
          <w:rFonts w:ascii="Times New Roman" w:hAnsi="Times New Roman"/>
          <w:spacing w:val="4"/>
          <w:sz w:val="24"/>
          <w:szCs w:val="24"/>
          <w:lang w:val="en-US"/>
        </w:rPr>
        <w:endnoteReference w:id="12"/>
      </w:r>
      <w:r w:rsidR="00062BB9" w:rsidRPr="005E1068">
        <w:rPr>
          <w:rFonts w:ascii="Times New Roman" w:hAnsi="Times New Roman"/>
          <w:sz w:val="24"/>
          <w:szCs w:val="24"/>
        </w:rPr>
        <w:t xml:space="preserve"> </w:t>
      </w:r>
      <w:r w:rsidRPr="005E1068">
        <w:rPr>
          <w:rFonts w:ascii="Times New Roman" w:hAnsi="Times New Roman"/>
          <w:sz w:val="24"/>
          <w:szCs w:val="24"/>
        </w:rPr>
        <w:t>y en el sur de la India.</w:t>
      </w:r>
      <w:r w:rsidR="00062BB9" w:rsidRPr="005E1068">
        <w:rPr>
          <w:rStyle w:val="Refdenotaalfinal"/>
          <w:rFonts w:ascii="Times New Roman" w:hAnsi="Times New Roman"/>
          <w:spacing w:val="4"/>
          <w:sz w:val="24"/>
          <w:szCs w:val="24"/>
        </w:rPr>
        <w:t xml:space="preserve"> </w:t>
      </w:r>
      <w:r w:rsidR="00062BB9" w:rsidRPr="005E1068">
        <w:rPr>
          <w:rStyle w:val="Refdenotaalfinal"/>
          <w:rFonts w:ascii="Times New Roman" w:hAnsi="Times New Roman"/>
          <w:spacing w:val="4"/>
          <w:sz w:val="24"/>
          <w:szCs w:val="24"/>
          <w:lang w:val="en-US"/>
        </w:rPr>
        <w:endnoteReference w:id="13"/>
      </w:r>
    </w:p>
    <w:p w14:paraId="60DA9BAE" w14:textId="439093F5" w:rsidR="000B3019" w:rsidRPr="005E1068" w:rsidRDefault="000B3019" w:rsidP="00E96B98">
      <w:pPr>
        <w:pStyle w:val="Textoindependiente"/>
        <w:spacing w:after="0"/>
        <w:jc w:val="both"/>
        <w:rPr>
          <w:lang w:val="es-US"/>
        </w:rPr>
      </w:pPr>
      <w:r w:rsidRPr="005E1068">
        <w:rPr>
          <w:lang w:val="es-ES" w:eastAsia="es-ES"/>
        </w:rPr>
        <w:t xml:space="preserve">La epidemia ha atraído </w:t>
      </w:r>
      <w:r w:rsidR="00234480" w:rsidRPr="005E1068">
        <w:rPr>
          <w:lang w:val="es-ES" w:eastAsia="es-ES"/>
        </w:rPr>
        <w:t>notablemente</w:t>
      </w:r>
      <w:r w:rsidRPr="005E1068">
        <w:rPr>
          <w:lang w:val="es-ES" w:eastAsia="es-ES"/>
        </w:rPr>
        <w:t xml:space="preserve"> la atención de la literatura científica más reciente.</w:t>
      </w:r>
      <w:r w:rsidRPr="005E1068">
        <w:rPr>
          <w:rStyle w:val="Refdenotaalfinal"/>
          <w:spacing w:val="4"/>
        </w:rPr>
        <w:endnoteReference w:id="14"/>
      </w:r>
      <w:r w:rsidRPr="005E1068">
        <w:rPr>
          <w:rStyle w:val="Refdenotaalfinal"/>
          <w:lang w:val="es-ES"/>
        </w:rPr>
        <w:t xml:space="preserve"> </w:t>
      </w:r>
      <w:r w:rsidRPr="005E1068">
        <w:rPr>
          <w:rStyle w:val="Refdenotaalfinal"/>
          <w:spacing w:val="4"/>
        </w:rPr>
        <w:endnoteReference w:id="15"/>
      </w:r>
    </w:p>
    <w:p w14:paraId="1C890316" w14:textId="77777777" w:rsidR="00235F89" w:rsidRPr="005E1068" w:rsidRDefault="00235F89" w:rsidP="00E96B98">
      <w:pPr>
        <w:pStyle w:val="Textoindependiente"/>
        <w:spacing w:after="0"/>
        <w:jc w:val="both"/>
        <w:rPr>
          <w:lang w:val="es-US" w:eastAsia="es-ES"/>
        </w:rPr>
      </w:pPr>
    </w:p>
    <w:p w14:paraId="018683B9" w14:textId="135400EA" w:rsidR="000B3019" w:rsidRPr="005E1068" w:rsidRDefault="000B3019" w:rsidP="00E96B98">
      <w:pPr>
        <w:pStyle w:val="Textoindependiente"/>
        <w:spacing w:after="0"/>
        <w:jc w:val="both"/>
        <w:rPr>
          <w:lang w:val="es-ES" w:eastAsia="es-ES"/>
        </w:rPr>
      </w:pPr>
      <w:r w:rsidRPr="005E1068">
        <w:rPr>
          <w:lang w:val="es-ES" w:eastAsia="es-ES"/>
        </w:rPr>
        <w:t xml:space="preserve">En el caso específico de El Salvador, un reciente trabajo describe en detalle las </w:t>
      </w:r>
      <w:r w:rsidR="007603D4" w:rsidRPr="005E1068">
        <w:rPr>
          <w:lang w:val="es-ES" w:eastAsia="es-ES"/>
        </w:rPr>
        <w:t>características de la epidemia.</w:t>
      </w:r>
      <w:r w:rsidRPr="005E1068">
        <w:rPr>
          <w:rStyle w:val="Refdenotaalfinal"/>
          <w:spacing w:val="4"/>
          <w:lang w:val="es-ES"/>
        </w:rPr>
        <w:t>6</w:t>
      </w:r>
      <w:r w:rsidRPr="005E1068">
        <w:rPr>
          <w:spacing w:val="4"/>
          <w:lang w:val="es-ES"/>
        </w:rPr>
        <w:t xml:space="preserve"> </w:t>
      </w:r>
      <w:r w:rsidRPr="005E1068">
        <w:rPr>
          <w:lang w:val="es-ES" w:eastAsia="es-ES"/>
        </w:rPr>
        <w:t xml:space="preserve"> Basado en la Encuesta Nacional de Enfermedades Crónicas en Adultos e</w:t>
      </w:r>
      <w:r w:rsidR="007603D4" w:rsidRPr="005E1068">
        <w:rPr>
          <w:lang w:val="es-ES" w:eastAsia="es-ES"/>
        </w:rPr>
        <w:t>n El Salvador (ENECA-ELS 2015),</w:t>
      </w:r>
      <w:r w:rsidRPr="005E1068">
        <w:rPr>
          <w:rStyle w:val="Refdenotaalfinal"/>
          <w:spacing w:val="4"/>
        </w:rPr>
        <w:endnoteReference w:id="16"/>
      </w:r>
      <w:r w:rsidRPr="005E1068">
        <w:rPr>
          <w:lang w:val="es-ES" w:eastAsia="es-ES"/>
        </w:rPr>
        <w:t xml:space="preserve"> los resultados confirman que la ERC ha al</w:t>
      </w:r>
      <w:r w:rsidR="007603D4" w:rsidRPr="005E1068">
        <w:rPr>
          <w:lang w:val="es-ES" w:eastAsia="es-ES"/>
        </w:rPr>
        <w:t>canzado proporciones alarmantes</w:t>
      </w:r>
      <w:r w:rsidRPr="005E1068">
        <w:rPr>
          <w:lang w:val="es-ES" w:eastAsia="es-ES"/>
        </w:rPr>
        <w:t xml:space="preserve"> en ese país. Además, los resultados de investigaciones previas en algunas comunidades agrícolas salvadoreñas</w:t>
      </w:r>
      <w:r w:rsidRPr="005E1068">
        <w:rPr>
          <w:rStyle w:val="Refdenotaalfinal"/>
          <w:lang w:eastAsia="es-ES"/>
        </w:rPr>
        <w:endnoteReference w:id="17"/>
      </w:r>
      <w:r w:rsidR="007603D4" w:rsidRPr="005E1068">
        <w:rPr>
          <w:lang w:val="es-ES" w:eastAsia="es-ES"/>
        </w:rPr>
        <w:t xml:space="preserve"> </w:t>
      </w:r>
      <w:r w:rsidRPr="005E1068">
        <w:rPr>
          <w:lang w:val="es-ES" w:eastAsia="es-ES"/>
        </w:rPr>
        <w:t>destacan el elevado grado de exposición de la población a los agroquímicos, especialmente en las zonas rurales.</w:t>
      </w:r>
    </w:p>
    <w:p w14:paraId="634477F1" w14:textId="77777777" w:rsidR="00E96B98" w:rsidRPr="005E1068" w:rsidRDefault="00E96B98" w:rsidP="00E96B98">
      <w:pPr>
        <w:pStyle w:val="Textoindependiente"/>
        <w:spacing w:after="0"/>
        <w:jc w:val="both"/>
        <w:rPr>
          <w:lang w:val="es-ES" w:eastAsia="es-ES"/>
        </w:rPr>
      </w:pPr>
    </w:p>
    <w:p w14:paraId="7FD4E83D" w14:textId="27978C57" w:rsidR="00A720DC" w:rsidRPr="005E1068" w:rsidRDefault="007F72E3" w:rsidP="007F72E3">
      <w:pPr>
        <w:spacing w:after="0" w:line="276" w:lineRule="auto"/>
        <w:jc w:val="both"/>
        <w:rPr>
          <w:rFonts w:ascii="Times New Roman" w:hAnsi="Times New Roman"/>
          <w:sz w:val="24"/>
          <w:szCs w:val="24"/>
        </w:rPr>
      </w:pPr>
      <w:r w:rsidRPr="005E1068">
        <w:rPr>
          <w:rFonts w:ascii="Times New Roman" w:hAnsi="Times New Roman"/>
          <w:sz w:val="24"/>
          <w:szCs w:val="24"/>
        </w:rPr>
        <w:t>Se han planteado varias hipót</w:t>
      </w:r>
      <w:r w:rsidR="007603D4" w:rsidRPr="005E1068">
        <w:rPr>
          <w:rFonts w:ascii="Times New Roman" w:hAnsi="Times New Roman"/>
          <w:sz w:val="24"/>
          <w:szCs w:val="24"/>
        </w:rPr>
        <w:t>esis para explicar la epidemia,</w:t>
      </w:r>
      <w:r w:rsidRPr="005E1068">
        <w:rPr>
          <w:rStyle w:val="Refdenotaalfinal"/>
          <w:rFonts w:ascii="Times New Roman" w:hAnsi="Times New Roman"/>
          <w:sz w:val="24"/>
          <w:szCs w:val="24"/>
        </w:rPr>
        <w:endnoteReference w:id="18"/>
      </w:r>
      <w:r w:rsidRPr="005E1068">
        <w:rPr>
          <w:rFonts w:ascii="Times New Roman" w:hAnsi="Times New Roman"/>
          <w:sz w:val="24"/>
          <w:szCs w:val="24"/>
        </w:rPr>
        <w:t xml:space="preserve"> dos de </w:t>
      </w:r>
      <w:r w:rsidR="007603D4" w:rsidRPr="005E1068">
        <w:rPr>
          <w:rFonts w:ascii="Times New Roman" w:hAnsi="Times New Roman"/>
          <w:sz w:val="24"/>
          <w:szCs w:val="24"/>
        </w:rPr>
        <w:t xml:space="preserve">las cuales </w:t>
      </w:r>
      <w:r w:rsidRPr="005E1068">
        <w:rPr>
          <w:rFonts w:ascii="Times New Roman" w:hAnsi="Times New Roman"/>
          <w:sz w:val="24"/>
          <w:szCs w:val="24"/>
        </w:rPr>
        <w:t xml:space="preserve"> </w:t>
      </w:r>
      <w:r w:rsidR="007603D4" w:rsidRPr="005E1068">
        <w:rPr>
          <w:rFonts w:ascii="Times New Roman" w:hAnsi="Times New Roman"/>
          <w:sz w:val="24"/>
          <w:szCs w:val="24"/>
        </w:rPr>
        <w:t>han merecido la mayor atención</w:t>
      </w:r>
      <w:r w:rsidRPr="005E1068">
        <w:rPr>
          <w:rFonts w:ascii="Times New Roman" w:hAnsi="Times New Roman"/>
          <w:sz w:val="24"/>
          <w:szCs w:val="24"/>
        </w:rPr>
        <w:t>.</w:t>
      </w:r>
    </w:p>
    <w:p w14:paraId="70C93764" w14:textId="41F41A77" w:rsidR="007F72E3" w:rsidRPr="005E1068" w:rsidRDefault="007F72E3" w:rsidP="00772B81">
      <w:pPr>
        <w:spacing w:after="0" w:line="360" w:lineRule="auto"/>
        <w:jc w:val="both"/>
        <w:rPr>
          <w:rFonts w:ascii="Times New Roman" w:hAnsi="Times New Roman"/>
          <w:sz w:val="24"/>
          <w:szCs w:val="24"/>
          <w:lang w:val="es-US"/>
        </w:rPr>
      </w:pPr>
    </w:p>
    <w:p w14:paraId="4CA82950" w14:textId="106E5C41" w:rsidR="007F72E3" w:rsidRPr="005E1068" w:rsidRDefault="007F72E3" w:rsidP="00235F89">
      <w:pPr>
        <w:spacing w:after="0" w:line="240" w:lineRule="auto"/>
        <w:jc w:val="both"/>
        <w:rPr>
          <w:rFonts w:ascii="Times New Roman" w:hAnsi="Times New Roman"/>
          <w:sz w:val="24"/>
          <w:szCs w:val="24"/>
        </w:rPr>
      </w:pPr>
      <w:r w:rsidRPr="005E1068">
        <w:rPr>
          <w:rFonts w:ascii="Times New Roman" w:hAnsi="Times New Roman"/>
          <w:sz w:val="24"/>
          <w:szCs w:val="24"/>
        </w:rPr>
        <w:t xml:space="preserve">Una hipótesis propone que los </w:t>
      </w:r>
      <w:r w:rsidR="007603D4" w:rsidRPr="005E1068">
        <w:rPr>
          <w:rFonts w:ascii="Times New Roman" w:hAnsi="Times New Roman"/>
          <w:sz w:val="24"/>
          <w:szCs w:val="24"/>
        </w:rPr>
        <w:t xml:space="preserve">pesticidas y </w:t>
      </w:r>
      <w:r w:rsidRPr="005E1068">
        <w:rPr>
          <w:rFonts w:ascii="Times New Roman" w:hAnsi="Times New Roman"/>
          <w:sz w:val="24"/>
          <w:szCs w:val="24"/>
        </w:rPr>
        <w:t xml:space="preserve">herbicidas son los principales responsables de la epidemia. Además del contacto directo con dichos productos durante su aplicación, los sujetos </w:t>
      </w:r>
      <w:r w:rsidR="007603D4" w:rsidRPr="005E1068">
        <w:rPr>
          <w:rFonts w:ascii="Times New Roman" w:hAnsi="Times New Roman"/>
          <w:sz w:val="24"/>
          <w:szCs w:val="24"/>
        </w:rPr>
        <w:t>podrían</w:t>
      </w:r>
      <w:r w:rsidRPr="005E1068">
        <w:rPr>
          <w:rFonts w:ascii="Times New Roman" w:hAnsi="Times New Roman"/>
          <w:sz w:val="24"/>
          <w:szCs w:val="24"/>
        </w:rPr>
        <w:t xml:space="preserve"> haberse expuesto a la contaminación del aire, el agua o los alimentos. La presencia de la modalidad ERCnT no solo entre los trabajadores agrícolas, sino también entre las mujeres y los niños, así como e</w:t>
      </w:r>
      <w:r w:rsidR="007603D4" w:rsidRPr="005E1068">
        <w:rPr>
          <w:rFonts w:ascii="Times New Roman" w:hAnsi="Times New Roman"/>
          <w:sz w:val="24"/>
          <w:szCs w:val="24"/>
        </w:rPr>
        <w:t>n los adolescentes no agrícolas</w:t>
      </w:r>
      <w:r w:rsidRPr="005E1068">
        <w:rPr>
          <w:rStyle w:val="Refdenotaalfinal"/>
          <w:rFonts w:ascii="Times New Roman" w:hAnsi="Times New Roman"/>
          <w:spacing w:val="4"/>
          <w:sz w:val="24"/>
          <w:szCs w:val="24"/>
          <w:lang w:val="en-US"/>
        </w:rPr>
        <w:endnoteReference w:id="19"/>
      </w:r>
      <w:r w:rsidR="007603D4" w:rsidRPr="005E1068">
        <w:rPr>
          <w:rFonts w:ascii="Times New Roman" w:hAnsi="Times New Roman"/>
          <w:spacing w:val="4"/>
          <w:sz w:val="24"/>
          <w:szCs w:val="24"/>
        </w:rPr>
        <w:t xml:space="preserve"> </w:t>
      </w:r>
      <w:r w:rsidRPr="005E1068">
        <w:rPr>
          <w:rStyle w:val="Refdenotaalfinal"/>
          <w:rFonts w:ascii="Times New Roman" w:hAnsi="Times New Roman"/>
          <w:spacing w:val="4"/>
          <w:sz w:val="24"/>
          <w:szCs w:val="24"/>
          <w:lang w:val="en-US"/>
        </w:rPr>
        <w:endnoteReference w:id="20"/>
      </w:r>
      <w:r w:rsidRPr="005E1068">
        <w:rPr>
          <w:rFonts w:ascii="Times New Roman" w:hAnsi="Times New Roman"/>
          <w:sz w:val="24"/>
          <w:szCs w:val="24"/>
          <w:lang w:eastAsia="es-ES"/>
        </w:rPr>
        <w:t xml:space="preserve"> </w:t>
      </w:r>
      <w:r w:rsidRPr="005E1068">
        <w:rPr>
          <w:rStyle w:val="Refdenotaalfinal"/>
          <w:rFonts w:ascii="Times New Roman" w:hAnsi="Times New Roman"/>
          <w:sz w:val="24"/>
          <w:szCs w:val="24"/>
          <w:lang w:val="en-US" w:eastAsia="es-ES"/>
        </w:rPr>
        <w:endnoteReference w:id="21"/>
      </w:r>
      <w:r w:rsidRPr="005E1068">
        <w:rPr>
          <w:rStyle w:val="Refdenotaalfinal"/>
          <w:rFonts w:ascii="Times New Roman" w:hAnsi="Times New Roman"/>
          <w:sz w:val="24"/>
          <w:szCs w:val="24"/>
          <w:lang w:eastAsia="es-ES"/>
        </w:rPr>
        <w:t xml:space="preserve"> </w:t>
      </w:r>
      <w:r w:rsidRPr="005E1068">
        <w:rPr>
          <w:rFonts w:ascii="Times New Roman" w:hAnsi="Times New Roman"/>
          <w:sz w:val="24"/>
          <w:szCs w:val="24"/>
        </w:rPr>
        <w:t xml:space="preserve"> y las esposas de l</w:t>
      </w:r>
      <w:r w:rsidR="007603D4" w:rsidRPr="005E1068">
        <w:rPr>
          <w:rFonts w:ascii="Times New Roman" w:hAnsi="Times New Roman"/>
          <w:sz w:val="24"/>
          <w:szCs w:val="24"/>
        </w:rPr>
        <w:t>os manipuladores de pesticidas,</w:t>
      </w:r>
      <w:r w:rsidRPr="005E1068">
        <w:rPr>
          <w:rStyle w:val="Refdenotaalfinal"/>
          <w:rFonts w:ascii="Times New Roman" w:hAnsi="Times New Roman"/>
          <w:sz w:val="24"/>
          <w:szCs w:val="24"/>
          <w:lang w:val="en-US" w:eastAsia="es-ES"/>
        </w:rPr>
        <w:endnoteReference w:id="22"/>
      </w:r>
      <w:r w:rsidRPr="005E1068">
        <w:rPr>
          <w:rFonts w:ascii="Times New Roman" w:hAnsi="Times New Roman"/>
          <w:sz w:val="24"/>
          <w:szCs w:val="24"/>
        </w:rPr>
        <w:t xml:space="preserve"> agrega plausibilidad a esta conjetura.</w:t>
      </w:r>
    </w:p>
    <w:p w14:paraId="11865A43" w14:textId="77777777" w:rsidR="00A720DC" w:rsidRPr="005E1068" w:rsidRDefault="00A720DC" w:rsidP="00772B81">
      <w:pPr>
        <w:spacing w:after="0" w:line="360" w:lineRule="auto"/>
        <w:jc w:val="both"/>
        <w:rPr>
          <w:rFonts w:ascii="Times New Roman" w:hAnsi="Times New Roman"/>
          <w:sz w:val="24"/>
          <w:szCs w:val="24"/>
        </w:rPr>
      </w:pPr>
    </w:p>
    <w:p w14:paraId="4BEB36CA" w14:textId="69D2E2DA" w:rsidR="00726699" w:rsidRPr="005E1068" w:rsidRDefault="00726699" w:rsidP="00726699">
      <w:pPr>
        <w:spacing w:after="0" w:line="276" w:lineRule="auto"/>
        <w:jc w:val="both"/>
        <w:rPr>
          <w:rFonts w:ascii="Times New Roman" w:hAnsi="Times New Roman"/>
          <w:sz w:val="24"/>
          <w:szCs w:val="24"/>
        </w:rPr>
      </w:pPr>
      <w:r w:rsidRPr="005E1068">
        <w:rPr>
          <w:rFonts w:ascii="Times New Roman" w:hAnsi="Times New Roman"/>
          <w:sz w:val="24"/>
          <w:szCs w:val="24"/>
        </w:rPr>
        <w:t>La segunda</w:t>
      </w:r>
      <w:r w:rsidRPr="005E1068">
        <w:rPr>
          <w:rFonts w:ascii="Times New Roman" w:hAnsi="Times New Roman"/>
          <w:sz w:val="24"/>
          <w:szCs w:val="24"/>
          <w:lang w:val="es-US"/>
        </w:rPr>
        <w:t xml:space="preserve"> hipótesis atribuye protagonismo etiológico a la exposición prolongada a altas temperaturas,</w:t>
      </w:r>
      <w:r w:rsidRPr="005E1068">
        <w:rPr>
          <w:rStyle w:val="Refdenotaalfinal"/>
          <w:rFonts w:ascii="Times New Roman" w:hAnsi="Times New Roman"/>
          <w:sz w:val="24"/>
          <w:szCs w:val="24"/>
          <w:lang w:val="en-US"/>
        </w:rPr>
        <w:endnoteReference w:id="23"/>
      </w:r>
      <w:r w:rsidRPr="005E1068">
        <w:rPr>
          <w:rFonts w:ascii="Times New Roman" w:hAnsi="Times New Roman"/>
          <w:sz w:val="24"/>
          <w:szCs w:val="24"/>
          <w:lang w:val="es-US"/>
        </w:rPr>
        <w:t xml:space="preserve"> en un contexto de trabajo extenuante, a las que se suma la deshidratación debida a insuficiente o inapropiada ingestión de líquidos.</w:t>
      </w:r>
      <w:r w:rsidRPr="005E1068">
        <w:rPr>
          <w:rStyle w:val="Refdenotaalfinal"/>
          <w:rFonts w:ascii="Times New Roman" w:hAnsi="Times New Roman"/>
          <w:sz w:val="24"/>
          <w:szCs w:val="24"/>
          <w:lang w:val="es-US"/>
        </w:rPr>
        <w:endnoteReference w:id="24"/>
      </w:r>
      <w:r w:rsidRPr="005E1068">
        <w:rPr>
          <w:rFonts w:ascii="Times New Roman" w:hAnsi="Times New Roman"/>
          <w:sz w:val="24"/>
          <w:szCs w:val="24"/>
          <w:lang w:val="es-US"/>
        </w:rPr>
        <w:t xml:space="preserve"> Como es bien conocido desde hace décadas,</w:t>
      </w:r>
      <w:r w:rsidR="00E97D0E" w:rsidRPr="005E1068">
        <w:rPr>
          <w:rStyle w:val="Refdenotaalfinal"/>
          <w:rFonts w:ascii="Times New Roman" w:hAnsi="Times New Roman"/>
          <w:sz w:val="24"/>
          <w:szCs w:val="24"/>
          <w:lang w:val="en-US"/>
        </w:rPr>
        <w:endnoteReference w:id="25"/>
      </w:r>
      <w:r w:rsidR="00E97D0E" w:rsidRPr="005E1068">
        <w:rPr>
          <w:rFonts w:ascii="Times New Roman" w:hAnsi="Times New Roman"/>
          <w:sz w:val="24"/>
          <w:szCs w:val="24"/>
        </w:rPr>
        <w:t xml:space="preserve"> </w:t>
      </w:r>
      <w:r w:rsidRPr="005E1068">
        <w:rPr>
          <w:rFonts w:ascii="Times New Roman" w:hAnsi="Times New Roman"/>
          <w:sz w:val="24"/>
          <w:szCs w:val="24"/>
          <w:lang w:val="es-US"/>
        </w:rPr>
        <w:t xml:space="preserve"> la deshidratación compromete por sí misma la función renal, </w:t>
      </w:r>
      <w:r w:rsidR="00E97D0E" w:rsidRPr="005E1068">
        <w:rPr>
          <w:rFonts w:ascii="Times New Roman" w:hAnsi="Times New Roman"/>
          <w:sz w:val="24"/>
          <w:szCs w:val="24"/>
          <w:lang w:val="es-US"/>
        </w:rPr>
        <w:t>y causa,</w:t>
      </w:r>
      <w:r w:rsidRPr="005E1068">
        <w:rPr>
          <w:rFonts w:ascii="Times New Roman" w:hAnsi="Times New Roman"/>
          <w:sz w:val="24"/>
          <w:szCs w:val="24"/>
          <w:lang w:val="es-US"/>
        </w:rPr>
        <w:t xml:space="preserve"> entre otros trastornos, </w:t>
      </w:r>
      <w:proofErr w:type="spellStart"/>
      <w:r w:rsidRPr="005E1068">
        <w:rPr>
          <w:rFonts w:ascii="Times New Roman" w:hAnsi="Times New Roman"/>
          <w:sz w:val="24"/>
          <w:szCs w:val="24"/>
          <w:lang w:val="es-US"/>
        </w:rPr>
        <w:t>hiperosmolaridad</w:t>
      </w:r>
      <w:proofErr w:type="spellEnd"/>
      <w:r w:rsidRPr="005E1068">
        <w:rPr>
          <w:rFonts w:ascii="Times New Roman" w:hAnsi="Times New Roman"/>
          <w:sz w:val="24"/>
          <w:szCs w:val="24"/>
          <w:lang w:val="es-US"/>
        </w:rPr>
        <w:t xml:space="preserve">, hiperuricemia y acumulación de </w:t>
      </w:r>
      <w:proofErr w:type="spellStart"/>
      <w:r w:rsidRPr="005E1068">
        <w:rPr>
          <w:rFonts w:ascii="Times New Roman" w:hAnsi="Times New Roman"/>
          <w:sz w:val="24"/>
          <w:szCs w:val="24"/>
          <w:lang w:val="es-US"/>
        </w:rPr>
        <w:t>nefrotoxinas</w:t>
      </w:r>
      <w:proofErr w:type="spellEnd"/>
      <w:r w:rsidRPr="005E1068">
        <w:rPr>
          <w:rFonts w:ascii="Times New Roman" w:hAnsi="Times New Roman"/>
          <w:sz w:val="24"/>
          <w:szCs w:val="24"/>
          <w:lang w:val="es-US"/>
        </w:rPr>
        <w:t xml:space="preserve">. </w:t>
      </w:r>
      <w:r w:rsidRPr="005E1068">
        <w:rPr>
          <w:rFonts w:ascii="Times New Roman" w:hAnsi="Times New Roman"/>
          <w:sz w:val="24"/>
          <w:szCs w:val="24"/>
        </w:rPr>
        <w:t xml:space="preserve">A su vez, los sucesivos episodios subclínicos de daño agudo del riñón pudieran desembocar en un daño crónico de éste órgano. </w:t>
      </w:r>
    </w:p>
    <w:p w14:paraId="148B2460" w14:textId="72CEC4E2" w:rsidR="0036632E" w:rsidRPr="005E1068" w:rsidRDefault="0036632E" w:rsidP="00772B81">
      <w:pPr>
        <w:spacing w:after="0" w:line="360" w:lineRule="auto"/>
        <w:jc w:val="both"/>
        <w:rPr>
          <w:rFonts w:ascii="Times New Roman" w:hAnsi="Times New Roman"/>
          <w:sz w:val="24"/>
          <w:szCs w:val="24"/>
          <w:lang w:val="es-US"/>
        </w:rPr>
      </w:pPr>
    </w:p>
    <w:p w14:paraId="0098EC14" w14:textId="4E7E558E" w:rsidR="0036632E" w:rsidRPr="005E1068" w:rsidRDefault="0036632E" w:rsidP="0036632E">
      <w:pPr>
        <w:spacing w:after="0" w:line="276" w:lineRule="auto"/>
        <w:jc w:val="both"/>
        <w:rPr>
          <w:rFonts w:ascii="Times New Roman" w:hAnsi="Times New Roman"/>
          <w:sz w:val="24"/>
          <w:szCs w:val="24"/>
          <w:lang w:val="es-US"/>
        </w:rPr>
      </w:pPr>
      <w:r w:rsidRPr="005E1068">
        <w:rPr>
          <w:rFonts w:ascii="Times New Roman" w:hAnsi="Times New Roman"/>
          <w:sz w:val="24"/>
          <w:szCs w:val="24"/>
          <w:lang w:val="es-ES_tradnl"/>
        </w:rPr>
        <w:t>Un modelo explicativo más abarcador ha sido propuesto por un grupo de investigadores de El Salvador y Cuba.</w:t>
      </w:r>
      <w:r w:rsidRPr="005E1068">
        <w:rPr>
          <w:rStyle w:val="Refdenotaalfinal"/>
          <w:rFonts w:ascii="Times New Roman" w:hAnsi="Times New Roman"/>
          <w:sz w:val="24"/>
          <w:szCs w:val="24"/>
          <w:lang w:val="en-US"/>
        </w:rPr>
        <w:endnoteReference w:id="26"/>
      </w:r>
      <w:r w:rsidRPr="005E1068">
        <w:rPr>
          <w:rFonts w:ascii="Times New Roman" w:hAnsi="Times New Roman"/>
          <w:sz w:val="24"/>
          <w:szCs w:val="24"/>
        </w:rPr>
        <w:t xml:space="preserve"> </w:t>
      </w:r>
      <w:r w:rsidRPr="005E1068">
        <w:rPr>
          <w:rFonts w:ascii="Times New Roman" w:hAnsi="Times New Roman"/>
          <w:sz w:val="24"/>
          <w:szCs w:val="24"/>
          <w:lang w:val="es-ES_tradnl"/>
        </w:rPr>
        <w:t xml:space="preserve"> </w:t>
      </w:r>
      <w:r w:rsidRPr="005E1068">
        <w:rPr>
          <w:rFonts w:ascii="Times New Roman" w:hAnsi="Times New Roman"/>
          <w:sz w:val="24"/>
          <w:szCs w:val="24"/>
        </w:rPr>
        <w:t xml:space="preserve">Dicha propuesta no hace compromisos apriorísticos </w:t>
      </w:r>
      <w:r w:rsidR="00234480" w:rsidRPr="005E1068">
        <w:rPr>
          <w:rFonts w:ascii="Times New Roman" w:hAnsi="Times New Roman"/>
          <w:sz w:val="24"/>
          <w:szCs w:val="24"/>
        </w:rPr>
        <w:t>sino que</w:t>
      </w:r>
      <w:r w:rsidRPr="005E1068">
        <w:rPr>
          <w:rFonts w:ascii="Times New Roman" w:hAnsi="Times New Roman"/>
          <w:sz w:val="24"/>
          <w:szCs w:val="24"/>
        </w:rPr>
        <w:t xml:space="preserve"> contempla la posibilidad de ambos componentes</w:t>
      </w:r>
      <w:r w:rsidR="00234480" w:rsidRPr="005E1068">
        <w:rPr>
          <w:rFonts w:ascii="Times New Roman" w:hAnsi="Times New Roman"/>
          <w:sz w:val="24"/>
          <w:szCs w:val="24"/>
        </w:rPr>
        <w:t xml:space="preserve"> se conjuguen </w:t>
      </w:r>
      <w:r w:rsidRPr="005E1068">
        <w:rPr>
          <w:rFonts w:ascii="Times New Roman" w:hAnsi="Times New Roman"/>
          <w:sz w:val="24"/>
          <w:szCs w:val="24"/>
        </w:rPr>
        <w:t xml:space="preserve">. Este enfoque está en línea con la opinión de diversos especialistas que señalan la necesidad de adoptar una aproximación multifactorial e integrada, que tenga en cuenta los </w:t>
      </w:r>
      <w:r w:rsidRPr="005E1068">
        <w:rPr>
          <w:rFonts w:ascii="Times New Roman" w:hAnsi="Times New Roman"/>
          <w:sz w:val="24"/>
          <w:szCs w:val="24"/>
          <w:lang w:eastAsia="es-ES"/>
        </w:rPr>
        <w:t>determinantes sociales de la salud</w:t>
      </w:r>
      <w:r w:rsidRPr="005E1068">
        <w:rPr>
          <w:rFonts w:ascii="Times New Roman" w:hAnsi="Times New Roman"/>
          <w:lang w:eastAsia="es-ES"/>
        </w:rPr>
        <w:t>, los</w:t>
      </w:r>
      <w:r w:rsidRPr="005E1068">
        <w:rPr>
          <w:rFonts w:ascii="Times New Roman" w:hAnsi="Times New Roman"/>
          <w:sz w:val="24"/>
          <w:szCs w:val="24"/>
        </w:rPr>
        <w:t xml:space="preserve"> modelos de crecimiento económico no sostenibles y la degradación del ambiente y de la salud pública.</w:t>
      </w:r>
      <w:r w:rsidRPr="005E1068">
        <w:rPr>
          <w:rStyle w:val="Refdenotaalfinal"/>
          <w:rFonts w:ascii="Times New Roman" w:hAnsi="Times New Roman"/>
          <w:sz w:val="24"/>
          <w:szCs w:val="24"/>
        </w:rPr>
        <w:t xml:space="preserve"> </w:t>
      </w:r>
      <w:r w:rsidRPr="005E1068">
        <w:rPr>
          <w:rStyle w:val="Refdenotaalfinal"/>
          <w:rFonts w:ascii="Times New Roman" w:hAnsi="Times New Roman"/>
          <w:sz w:val="24"/>
          <w:szCs w:val="24"/>
          <w:lang w:val="en-US"/>
        </w:rPr>
        <w:endnoteReference w:id="27"/>
      </w:r>
      <w:r w:rsidRPr="005E1068">
        <w:rPr>
          <w:rFonts w:ascii="Times New Roman" w:hAnsi="Times New Roman"/>
          <w:sz w:val="24"/>
          <w:szCs w:val="24"/>
        </w:rPr>
        <w:t xml:space="preserve"> </w:t>
      </w:r>
      <w:r w:rsidRPr="005E1068">
        <w:rPr>
          <w:rFonts w:ascii="Times New Roman" w:hAnsi="Times New Roman"/>
          <w:sz w:val="24"/>
          <w:szCs w:val="24"/>
          <w:vertAlign w:val="superscript"/>
          <w:lang w:val="es-US"/>
        </w:rPr>
        <w:t>7</w:t>
      </w:r>
    </w:p>
    <w:p w14:paraId="088FA72C" w14:textId="612D0B69" w:rsidR="00B75F7B" w:rsidRPr="005E1068" w:rsidRDefault="00B75F7B" w:rsidP="00772B81">
      <w:pPr>
        <w:pStyle w:val="Textoindependiente"/>
        <w:spacing w:after="0" w:line="360" w:lineRule="auto"/>
        <w:jc w:val="both"/>
        <w:rPr>
          <w:spacing w:val="4"/>
          <w:lang w:val="es-US"/>
        </w:rPr>
      </w:pPr>
    </w:p>
    <w:p w14:paraId="0FE1CC1C" w14:textId="73450AD9" w:rsidR="00B75F7B" w:rsidRPr="005E1068" w:rsidRDefault="00B75F7B" w:rsidP="00B75F7B">
      <w:pPr>
        <w:spacing w:after="0" w:line="276" w:lineRule="auto"/>
        <w:jc w:val="both"/>
        <w:rPr>
          <w:rFonts w:ascii="Times New Roman" w:hAnsi="Times New Roman"/>
          <w:spacing w:val="4"/>
        </w:rPr>
      </w:pPr>
      <w:r w:rsidRPr="005E1068">
        <w:rPr>
          <w:rFonts w:ascii="Times New Roman" w:hAnsi="Times New Roman"/>
          <w:sz w:val="24"/>
          <w:szCs w:val="24"/>
        </w:rPr>
        <w:t>No obstante, persiste una enconada controversia sobre las causas de la epidemia de ERCnT que afecta a las comunidades agrícolas en América Central y el sur de Asia,</w:t>
      </w:r>
      <w:r w:rsidRPr="005E1068">
        <w:rPr>
          <w:rStyle w:val="Refdenotaalfinal"/>
          <w:rFonts w:ascii="Times New Roman" w:hAnsi="Times New Roman"/>
          <w:spacing w:val="4"/>
        </w:rPr>
        <w:endnoteReference w:id="28"/>
      </w:r>
      <w:r w:rsidRPr="005E1068">
        <w:rPr>
          <w:rFonts w:ascii="Times New Roman" w:hAnsi="Times New Roman"/>
          <w:sz w:val="24"/>
          <w:szCs w:val="24"/>
          <w:lang w:eastAsia="es-ES"/>
        </w:rPr>
        <w:t xml:space="preserve"> la cual se mantiene a pesar de los esfuerzos de muchos investigadores y ministerios de salud para involucrar a renombrados expertos con el apoyo de agencias públicas internacionales. Algunos estudios previos se han centrado en investigar los factores de riesgo y las hipótesis causales (que incluyen estrés por calor y deshidratación, pesticidas, agentes infecciosos y metales pesados), pero aún no se vislumbra un consenso en esta materia. </w:t>
      </w:r>
      <w:r w:rsidRPr="005E1068">
        <w:rPr>
          <w:rStyle w:val="Refdenotaalfinal"/>
          <w:rFonts w:ascii="Times New Roman" w:hAnsi="Times New Roman"/>
          <w:spacing w:val="4"/>
        </w:rPr>
        <w:endnoteReference w:id="29"/>
      </w:r>
      <w:r w:rsidRPr="005E1068">
        <w:rPr>
          <w:rFonts w:ascii="Times New Roman" w:hAnsi="Times New Roman"/>
          <w:spacing w:val="4"/>
        </w:rPr>
        <w:t xml:space="preserve"> </w:t>
      </w:r>
      <w:r w:rsidRPr="005E1068">
        <w:rPr>
          <w:rStyle w:val="Refdenotaalfinal"/>
          <w:rFonts w:ascii="Times New Roman" w:hAnsi="Times New Roman"/>
          <w:spacing w:val="4"/>
        </w:rPr>
        <w:endnoteReference w:id="30"/>
      </w:r>
      <w:r w:rsidRPr="005E1068">
        <w:rPr>
          <w:rFonts w:ascii="Times New Roman" w:hAnsi="Times New Roman"/>
          <w:spacing w:val="4"/>
        </w:rPr>
        <w:t xml:space="preserve"> </w:t>
      </w:r>
    </w:p>
    <w:p w14:paraId="5A058539" w14:textId="77777777" w:rsidR="00B75F7B" w:rsidRPr="005E1068" w:rsidRDefault="00B75F7B" w:rsidP="00B75F7B">
      <w:pPr>
        <w:spacing w:after="0" w:line="276" w:lineRule="auto"/>
        <w:jc w:val="both"/>
        <w:rPr>
          <w:rFonts w:ascii="Times New Roman" w:hAnsi="Times New Roman"/>
          <w:spacing w:val="4"/>
        </w:rPr>
      </w:pPr>
    </w:p>
    <w:p w14:paraId="1042538D" w14:textId="5518A872" w:rsidR="002D08CF" w:rsidRPr="005E1068" w:rsidRDefault="002D08CF" w:rsidP="002D08CF">
      <w:pPr>
        <w:pStyle w:val="Textoindependiente"/>
        <w:spacing w:after="0" w:line="276" w:lineRule="auto"/>
        <w:jc w:val="both"/>
        <w:rPr>
          <w:spacing w:val="4"/>
          <w:lang w:val="es-ES"/>
        </w:rPr>
      </w:pPr>
      <w:r w:rsidRPr="005E1068">
        <w:rPr>
          <w:lang w:val="es-ES" w:eastAsia="es-ES"/>
        </w:rPr>
        <w:t xml:space="preserve">Aunque los estudios de prevalencia son pasos iniciales indispensables, </w:t>
      </w:r>
      <w:r w:rsidRPr="005E1068">
        <w:rPr>
          <w:spacing w:val="4"/>
          <w:lang w:val="es-ES_tradnl"/>
        </w:rPr>
        <w:t>resulta imperativo incrementar el número y, sobre todo, la calidad de las investigaciones epidemiológicas. Se precisa de esfuerzos que superen la mera identificación de la magnitud y ubicación del problema y se orienten al establecimiento de sus causas.</w:t>
      </w:r>
      <w:r w:rsidRPr="005E1068">
        <w:rPr>
          <w:rStyle w:val="Refdenotaalfinal"/>
          <w:lang w:val="es-ES"/>
        </w:rPr>
        <w:t xml:space="preserve"> </w:t>
      </w:r>
      <w:r w:rsidRPr="005E1068">
        <w:rPr>
          <w:rStyle w:val="Refdenotaalfinal"/>
        </w:rPr>
        <w:endnoteReference w:id="31"/>
      </w:r>
    </w:p>
    <w:p w14:paraId="7DEDDFAC" w14:textId="3DAC716B" w:rsidR="002D08CF" w:rsidRPr="005E1068" w:rsidRDefault="002D08CF" w:rsidP="002D08CF">
      <w:pPr>
        <w:rPr>
          <w:rFonts w:ascii="Times New Roman" w:hAnsi="Times New Roman"/>
          <w:lang w:val="es-US"/>
        </w:rPr>
      </w:pPr>
    </w:p>
    <w:p w14:paraId="7E101738" w14:textId="247BDC6B" w:rsidR="002D08CF" w:rsidRPr="005E1068" w:rsidRDefault="002D08CF" w:rsidP="00D60F25">
      <w:pPr>
        <w:pStyle w:val="Textoindependiente"/>
        <w:spacing w:after="0"/>
        <w:jc w:val="both"/>
        <w:rPr>
          <w:color w:val="231F20"/>
          <w:spacing w:val="4"/>
          <w:lang w:val="es-ES_tradnl"/>
        </w:rPr>
      </w:pPr>
      <w:r w:rsidRPr="005E1068">
        <w:rPr>
          <w:color w:val="231F20"/>
          <w:spacing w:val="4"/>
          <w:lang w:val="es-ES_tradnl"/>
        </w:rPr>
        <w:t>La</w:t>
      </w:r>
      <w:r w:rsidRPr="005E1068">
        <w:rPr>
          <w:color w:val="231F20"/>
          <w:spacing w:val="4"/>
          <w:lang w:val="es-ES"/>
        </w:rPr>
        <w:t xml:space="preserve"> ENECA-ELS 2015 fue </w:t>
      </w:r>
      <w:r w:rsidR="00D60F25" w:rsidRPr="005E1068">
        <w:rPr>
          <w:color w:val="231F20"/>
          <w:spacing w:val="4"/>
          <w:lang w:val="es-ES"/>
        </w:rPr>
        <w:t>concebid</w:t>
      </w:r>
      <w:r w:rsidR="00607064" w:rsidRPr="005E1068">
        <w:rPr>
          <w:color w:val="231F20"/>
          <w:spacing w:val="4"/>
          <w:lang w:val="es-ES"/>
        </w:rPr>
        <w:t>a</w:t>
      </w:r>
      <w:r w:rsidRPr="005E1068">
        <w:rPr>
          <w:color w:val="231F20"/>
          <w:spacing w:val="4"/>
          <w:lang w:val="es-ES"/>
        </w:rPr>
        <w:t xml:space="preserve"> no solo para describir el problema sino también para propiciar un análisis </w:t>
      </w:r>
      <w:r w:rsidR="00D60F25" w:rsidRPr="005E1068">
        <w:rPr>
          <w:color w:val="231F20"/>
          <w:spacing w:val="4"/>
          <w:lang w:val="es-ES"/>
        </w:rPr>
        <w:t>capaz de aportar</w:t>
      </w:r>
      <w:r w:rsidRPr="005E1068">
        <w:rPr>
          <w:color w:val="231F20"/>
          <w:spacing w:val="4"/>
          <w:lang w:val="es-ES"/>
        </w:rPr>
        <w:t xml:space="preserve"> claves explicativas. En este artículo nos </w:t>
      </w:r>
      <w:r w:rsidRPr="005E1068">
        <w:rPr>
          <w:color w:val="231F20"/>
          <w:spacing w:val="4"/>
          <w:lang w:val="es-ES"/>
        </w:rPr>
        <w:lastRenderedPageBreak/>
        <w:t>proponemos comunicar los principales hallazgos de tal esfuerzo analítico en relación con el posible papel de los agroquímicos en la epidemia de ERC.</w:t>
      </w:r>
    </w:p>
    <w:p w14:paraId="1B87F8B4" w14:textId="77777777" w:rsidR="002D08CF" w:rsidRPr="005E1068" w:rsidRDefault="002D08CF" w:rsidP="002D08CF">
      <w:pPr>
        <w:rPr>
          <w:rFonts w:ascii="Times New Roman" w:hAnsi="Times New Roman"/>
          <w:lang w:val="es-ES_tradnl"/>
        </w:rPr>
      </w:pPr>
    </w:p>
    <w:p w14:paraId="302C4A31" w14:textId="01CF34A2" w:rsidR="00607064" w:rsidRPr="005E1068" w:rsidRDefault="00607064" w:rsidP="00607064">
      <w:pPr>
        <w:pStyle w:val="Ttulo1"/>
        <w:spacing w:line="360" w:lineRule="auto"/>
        <w:jc w:val="both"/>
        <w:rPr>
          <w:rFonts w:ascii="Times New Roman" w:hAnsi="Times New Roman"/>
          <w:b/>
          <w:color w:val="auto"/>
          <w:sz w:val="24"/>
          <w:szCs w:val="24"/>
          <w:lang w:val="es-ES_tradnl"/>
        </w:rPr>
      </w:pPr>
      <w:r w:rsidRPr="005E1068">
        <w:rPr>
          <w:rFonts w:ascii="Times New Roman" w:hAnsi="Times New Roman"/>
          <w:b/>
          <w:color w:val="auto"/>
          <w:sz w:val="24"/>
          <w:szCs w:val="24"/>
          <w:lang w:val="es-ES_tradnl"/>
        </w:rPr>
        <w:t xml:space="preserve">Método </w:t>
      </w:r>
    </w:p>
    <w:p w14:paraId="1CC97C86" w14:textId="77777777" w:rsidR="00B40707" w:rsidRPr="005E1068" w:rsidRDefault="00B40707" w:rsidP="00B40707">
      <w:pPr>
        <w:spacing w:line="276" w:lineRule="auto"/>
        <w:jc w:val="both"/>
        <w:rPr>
          <w:rStyle w:val="Ttulo3Car"/>
          <w:rFonts w:ascii="Times New Roman" w:hAnsi="Times New Roman"/>
          <w:b/>
          <w:color w:val="auto"/>
        </w:rPr>
      </w:pPr>
      <w:r w:rsidRPr="005E1068">
        <w:rPr>
          <w:rStyle w:val="Ttulo3Car"/>
          <w:rFonts w:ascii="Times New Roman" w:hAnsi="Times New Roman"/>
          <w:b/>
          <w:color w:val="auto"/>
        </w:rPr>
        <w:t>Tipo de estudio, universo y muestra.</w:t>
      </w:r>
    </w:p>
    <w:p w14:paraId="0320376D" w14:textId="311F9BF4" w:rsidR="00B40707" w:rsidRPr="005E1068" w:rsidRDefault="00B40707" w:rsidP="00B40707">
      <w:pPr>
        <w:pStyle w:val="Textoindependiente"/>
        <w:spacing w:after="0" w:line="276" w:lineRule="auto"/>
        <w:jc w:val="both"/>
        <w:rPr>
          <w:spacing w:val="4"/>
          <w:lang w:val="es-ES"/>
        </w:rPr>
      </w:pPr>
      <w:r w:rsidRPr="005E1068">
        <w:rPr>
          <w:spacing w:val="4"/>
          <w:lang w:val="es-ES"/>
        </w:rPr>
        <w:t>Se debe considerar la temporalidad de las exposiciones de manera formal y lo más rigurosa posible. Por esa razón, se realizó un estudio de casos y controles, utilizando la muestra nacional proporcionada por ENECA-ELS 2015.</w:t>
      </w:r>
    </w:p>
    <w:p w14:paraId="25940771" w14:textId="79C97C15" w:rsidR="00B40707" w:rsidRPr="005E1068" w:rsidRDefault="00B40707" w:rsidP="00B40707">
      <w:pPr>
        <w:spacing w:after="0" w:line="276" w:lineRule="auto"/>
        <w:jc w:val="both"/>
        <w:rPr>
          <w:rFonts w:ascii="Times New Roman" w:hAnsi="Times New Roman"/>
          <w:sz w:val="24"/>
          <w:szCs w:val="24"/>
          <w:lang w:val="es-US"/>
        </w:rPr>
      </w:pPr>
    </w:p>
    <w:p w14:paraId="73449A2B" w14:textId="351F4346" w:rsidR="00B40707" w:rsidRPr="005E1068" w:rsidRDefault="00B40707" w:rsidP="00B40707">
      <w:pPr>
        <w:pStyle w:val="Textoindependiente"/>
        <w:spacing w:after="0" w:line="276" w:lineRule="auto"/>
        <w:jc w:val="both"/>
        <w:rPr>
          <w:lang w:val="es-ES_tradnl"/>
        </w:rPr>
      </w:pPr>
      <w:r w:rsidRPr="005E1068">
        <w:rPr>
          <w:lang w:val="es-ES_tradnl"/>
        </w:rPr>
        <w:t xml:space="preserve">Los criterios de inclusión y </w:t>
      </w:r>
      <w:r w:rsidR="00E96B98" w:rsidRPr="005E1068">
        <w:rPr>
          <w:lang w:val="es-ES_tradnl"/>
        </w:rPr>
        <w:t xml:space="preserve">el </w:t>
      </w:r>
      <w:r w:rsidRPr="005E1068">
        <w:rPr>
          <w:lang w:val="es-ES_tradnl"/>
        </w:rPr>
        <w:t xml:space="preserve">diseño </w:t>
      </w:r>
      <w:proofErr w:type="spellStart"/>
      <w:r w:rsidRPr="005E1068">
        <w:rPr>
          <w:lang w:val="es-ES_tradnl"/>
        </w:rPr>
        <w:t>muestral</w:t>
      </w:r>
      <w:proofErr w:type="spellEnd"/>
      <w:r w:rsidRPr="005E1068">
        <w:rPr>
          <w:lang w:val="es-ES_tradnl"/>
        </w:rPr>
        <w:t xml:space="preserve"> probabilístico aplicado, así como los procedimientos para la recolección de datos, la medición de parámetros físico-químicos, el control de calidad, los procedimientos de estandarización y la validación de datos, se detallan en nuestro trabajo previo dedicado a la descripción de la epidemia.</w:t>
      </w:r>
      <w:r w:rsidRPr="005E1068">
        <w:rPr>
          <w:rStyle w:val="Refdenotaalfinal"/>
          <w:lang w:val="es-ES_tradnl"/>
        </w:rPr>
        <w:t xml:space="preserve"> 6</w:t>
      </w:r>
    </w:p>
    <w:p w14:paraId="41AA22EC" w14:textId="77777777" w:rsidR="00B40707" w:rsidRPr="005E1068" w:rsidRDefault="00B40707" w:rsidP="00772B81">
      <w:pPr>
        <w:spacing w:after="0" w:line="360" w:lineRule="auto"/>
        <w:jc w:val="both"/>
        <w:rPr>
          <w:rFonts w:ascii="Times New Roman" w:hAnsi="Times New Roman"/>
          <w:sz w:val="24"/>
          <w:szCs w:val="24"/>
          <w:lang w:val="es-ES_tradnl"/>
        </w:rPr>
      </w:pPr>
    </w:p>
    <w:p w14:paraId="12E5BA9D" w14:textId="73FDB8A8" w:rsidR="00DE498F" w:rsidRPr="005E1068" w:rsidRDefault="00DE498F" w:rsidP="00DE498F">
      <w:pPr>
        <w:spacing w:after="0" w:line="276" w:lineRule="auto"/>
        <w:jc w:val="both"/>
        <w:rPr>
          <w:rFonts w:ascii="Times New Roman" w:hAnsi="Times New Roman"/>
          <w:color w:val="000000"/>
          <w:sz w:val="24"/>
          <w:szCs w:val="24"/>
          <w:lang w:val="es-US"/>
        </w:rPr>
      </w:pPr>
      <w:r w:rsidRPr="005E1068">
        <w:rPr>
          <w:rFonts w:ascii="Times New Roman" w:hAnsi="Times New Roman"/>
          <w:color w:val="000000"/>
          <w:sz w:val="24"/>
          <w:szCs w:val="24"/>
          <w:lang w:val="es-ES_tradnl"/>
        </w:rPr>
        <w:t>Para evaluar la asociación entre los factores de riesgo considerados y la ERC, de los 4,817 adultos estudiados en ENECA-ELS 2015, todas las personas que padec</w:t>
      </w:r>
      <w:r w:rsidR="00FD6E8B" w:rsidRPr="005E1068">
        <w:rPr>
          <w:rFonts w:ascii="Times New Roman" w:hAnsi="Times New Roman"/>
          <w:color w:val="000000"/>
          <w:sz w:val="24"/>
          <w:szCs w:val="24"/>
          <w:lang w:val="es-ES_tradnl"/>
        </w:rPr>
        <w:t>ía</w:t>
      </w:r>
      <w:r w:rsidRPr="005E1068">
        <w:rPr>
          <w:rFonts w:ascii="Times New Roman" w:hAnsi="Times New Roman"/>
          <w:color w:val="000000"/>
          <w:sz w:val="24"/>
          <w:szCs w:val="24"/>
          <w:lang w:val="es-ES_tradnl"/>
        </w:rPr>
        <w:t xml:space="preserve">n ERC (519) se consideraron casos, </w:t>
      </w:r>
      <w:r w:rsidRPr="005E1068">
        <w:rPr>
          <w:rFonts w:ascii="Times New Roman" w:hAnsi="Times New Roman"/>
          <w:color w:val="000000"/>
          <w:sz w:val="24"/>
          <w:szCs w:val="24"/>
        </w:rPr>
        <w:t>cualquiera fuese el posible origen de la enfermedad e independientemente de los rasgos que exhibiesen.</w:t>
      </w:r>
      <w:r w:rsidRPr="005E1068">
        <w:rPr>
          <w:rFonts w:ascii="Times New Roman" w:hAnsi="Times New Roman"/>
          <w:color w:val="000000"/>
          <w:sz w:val="24"/>
          <w:szCs w:val="24"/>
          <w:lang w:val="es-ES_tradnl"/>
        </w:rPr>
        <w:t xml:space="preserve"> Dicha clasificación se realizó de acuerdo con las pruebas de laboratorio aplicadas inicialmente (esencialmente, </w:t>
      </w:r>
      <w:r w:rsidRPr="005E1068">
        <w:rPr>
          <w:rFonts w:ascii="Times New Roman" w:hAnsi="Times New Roman"/>
          <w:color w:val="000000"/>
          <w:sz w:val="24"/>
          <w:szCs w:val="24"/>
        </w:rPr>
        <w:t>Tasa de Filtración Glomerular e Índice albúmina/creatinina</w:t>
      </w:r>
      <w:r w:rsidRPr="005E1068">
        <w:rPr>
          <w:rFonts w:ascii="Times New Roman" w:hAnsi="Times New Roman"/>
          <w:color w:val="000000"/>
          <w:sz w:val="24"/>
          <w:szCs w:val="24"/>
          <w:lang w:val="es-ES_tradnl"/>
        </w:rPr>
        <w:t xml:space="preserve">) y con la valoración de la naturaleza crónica de la afección, confirmada por mediciones repetidas tres meses después de la primera </w:t>
      </w:r>
      <w:r w:rsidR="00FD6E8B" w:rsidRPr="005E1068">
        <w:rPr>
          <w:rFonts w:ascii="Times New Roman" w:hAnsi="Times New Roman"/>
          <w:color w:val="000000"/>
          <w:sz w:val="24"/>
          <w:szCs w:val="24"/>
          <w:lang w:val="es-ES_tradnl"/>
        </w:rPr>
        <w:t>de estas variables</w:t>
      </w:r>
      <w:r w:rsidRPr="005E1068">
        <w:rPr>
          <w:rFonts w:ascii="Times New Roman" w:hAnsi="Times New Roman"/>
          <w:color w:val="000000"/>
          <w:sz w:val="24"/>
          <w:szCs w:val="24"/>
          <w:lang w:val="es-ES_tradnl"/>
        </w:rPr>
        <w:t xml:space="preserve">, </w:t>
      </w:r>
      <w:r w:rsidRPr="005E1068">
        <w:rPr>
          <w:rFonts w:ascii="Times New Roman" w:hAnsi="Times New Roman"/>
          <w:color w:val="000000"/>
          <w:sz w:val="24"/>
          <w:szCs w:val="24"/>
        </w:rPr>
        <w:t xml:space="preserve">según los criterios establecidos en las guías para el mejoramiento de los resultados globales de la enfermedad renal crónica, conocidas como </w:t>
      </w:r>
      <w:proofErr w:type="spellStart"/>
      <w:r w:rsidRPr="005E1068">
        <w:rPr>
          <w:rFonts w:ascii="Times New Roman" w:hAnsi="Times New Roman"/>
          <w:i/>
          <w:color w:val="000000"/>
          <w:sz w:val="24"/>
          <w:szCs w:val="24"/>
        </w:rPr>
        <w:t>Kidney</w:t>
      </w:r>
      <w:proofErr w:type="spellEnd"/>
      <w:r w:rsidRPr="005E1068">
        <w:rPr>
          <w:rFonts w:ascii="Times New Roman" w:hAnsi="Times New Roman"/>
          <w:i/>
          <w:color w:val="000000"/>
          <w:sz w:val="24"/>
          <w:szCs w:val="24"/>
        </w:rPr>
        <w:t xml:space="preserve"> </w:t>
      </w:r>
      <w:proofErr w:type="spellStart"/>
      <w:r w:rsidRPr="005E1068">
        <w:rPr>
          <w:rFonts w:ascii="Times New Roman" w:hAnsi="Times New Roman"/>
          <w:i/>
          <w:color w:val="000000"/>
          <w:sz w:val="24"/>
          <w:szCs w:val="24"/>
        </w:rPr>
        <w:t>Disease</w:t>
      </w:r>
      <w:proofErr w:type="spellEnd"/>
      <w:r w:rsidRPr="005E1068">
        <w:rPr>
          <w:rFonts w:ascii="Times New Roman" w:hAnsi="Times New Roman"/>
          <w:i/>
          <w:color w:val="000000"/>
          <w:sz w:val="24"/>
          <w:szCs w:val="24"/>
        </w:rPr>
        <w:t xml:space="preserve"> </w:t>
      </w:r>
      <w:proofErr w:type="spellStart"/>
      <w:r w:rsidRPr="005E1068">
        <w:rPr>
          <w:rFonts w:ascii="Times New Roman" w:hAnsi="Times New Roman"/>
          <w:i/>
          <w:color w:val="000000"/>
          <w:sz w:val="24"/>
          <w:szCs w:val="24"/>
        </w:rPr>
        <w:t>Improving</w:t>
      </w:r>
      <w:proofErr w:type="spellEnd"/>
      <w:r w:rsidRPr="005E1068">
        <w:rPr>
          <w:rFonts w:ascii="Times New Roman" w:hAnsi="Times New Roman"/>
          <w:i/>
          <w:color w:val="000000"/>
          <w:sz w:val="24"/>
          <w:szCs w:val="24"/>
        </w:rPr>
        <w:t xml:space="preserve"> Global </w:t>
      </w:r>
      <w:proofErr w:type="spellStart"/>
      <w:r w:rsidRPr="005E1068">
        <w:rPr>
          <w:rFonts w:ascii="Times New Roman" w:hAnsi="Times New Roman"/>
          <w:i/>
          <w:color w:val="000000"/>
          <w:sz w:val="24"/>
          <w:szCs w:val="24"/>
        </w:rPr>
        <w:t>Outcomes</w:t>
      </w:r>
      <w:proofErr w:type="spellEnd"/>
      <w:r w:rsidRPr="005E1068">
        <w:rPr>
          <w:rFonts w:ascii="Times New Roman" w:hAnsi="Times New Roman"/>
          <w:color w:val="000000"/>
          <w:sz w:val="24"/>
          <w:szCs w:val="24"/>
        </w:rPr>
        <w:t xml:space="preserve"> (KDIGO), </w:t>
      </w:r>
      <w:r w:rsidRPr="005E1068">
        <w:rPr>
          <w:rStyle w:val="Refdenotaalfinal"/>
          <w:rFonts w:ascii="Times New Roman" w:hAnsi="Times New Roman"/>
          <w:sz w:val="24"/>
          <w:szCs w:val="24"/>
          <w:lang w:val="en-US"/>
        </w:rPr>
        <w:endnoteReference w:id="32"/>
      </w:r>
      <w:r w:rsidRPr="005E1068">
        <w:rPr>
          <w:rFonts w:ascii="Times New Roman" w:hAnsi="Times New Roman"/>
          <w:color w:val="000000"/>
          <w:sz w:val="24"/>
          <w:szCs w:val="24"/>
        </w:rPr>
        <w:t xml:space="preserve"> a los que </w:t>
      </w:r>
      <w:r w:rsidRPr="005E1068">
        <w:rPr>
          <w:rFonts w:ascii="Times New Roman" w:hAnsi="Times New Roman"/>
          <w:sz w:val="24"/>
          <w:szCs w:val="24"/>
        </w:rPr>
        <w:t>se adhiere la OPS.</w:t>
      </w:r>
      <w:r w:rsidRPr="005E1068">
        <w:rPr>
          <w:rStyle w:val="Refdenotaalfinal"/>
          <w:rFonts w:ascii="Times New Roman" w:hAnsi="Times New Roman"/>
          <w:sz w:val="24"/>
          <w:szCs w:val="24"/>
        </w:rPr>
        <w:t xml:space="preserve"> </w:t>
      </w:r>
      <w:r w:rsidRPr="005E1068">
        <w:rPr>
          <w:rStyle w:val="Refdenotaalfinal"/>
          <w:rFonts w:ascii="Times New Roman" w:hAnsi="Times New Roman"/>
          <w:sz w:val="24"/>
          <w:szCs w:val="24"/>
          <w:lang w:val="en-US"/>
        </w:rPr>
        <w:endnoteReference w:id="33"/>
      </w:r>
      <w:r w:rsidRPr="005E1068">
        <w:rPr>
          <w:rFonts w:ascii="Times New Roman" w:hAnsi="Times New Roman"/>
        </w:rPr>
        <w:t xml:space="preserve"> </w:t>
      </w:r>
      <w:r w:rsidRPr="005E1068">
        <w:rPr>
          <w:rFonts w:ascii="Times New Roman" w:hAnsi="Times New Roman"/>
          <w:color w:val="000000"/>
          <w:sz w:val="24"/>
          <w:szCs w:val="24"/>
          <w:lang w:val="es-US"/>
        </w:rPr>
        <w:t xml:space="preserve">Los restantes participantes fueron considerados controles. </w:t>
      </w:r>
    </w:p>
    <w:p w14:paraId="54A99891" w14:textId="7BB9685D" w:rsidR="00DE498F" w:rsidRPr="005E1068" w:rsidRDefault="00DE498F" w:rsidP="00DE498F">
      <w:pPr>
        <w:spacing w:after="0" w:line="276" w:lineRule="auto"/>
        <w:jc w:val="both"/>
        <w:rPr>
          <w:rFonts w:ascii="Times New Roman" w:hAnsi="Times New Roman"/>
          <w:color w:val="000000"/>
          <w:sz w:val="24"/>
          <w:szCs w:val="24"/>
          <w:lang w:val="es-US"/>
        </w:rPr>
      </w:pPr>
    </w:p>
    <w:p w14:paraId="188FBDCE" w14:textId="2FFC67F2" w:rsidR="00797FD5" w:rsidRPr="005E1068" w:rsidRDefault="00CD4AE2" w:rsidP="00F943D2">
      <w:pPr>
        <w:spacing w:after="0" w:line="276" w:lineRule="auto"/>
        <w:jc w:val="both"/>
        <w:rPr>
          <w:rFonts w:ascii="Times New Roman" w:hAnsi="Times New Roman"/>
          <w:sz w:val="24"/>
          <w:szCs w:val="24"/>
        </w:rPr>
      </w:pPr>
      <w:r w:rsidRPr="005E1068">
        <w:rPr>
          <w:rFonts w:ascii="Times New Roman" w:hAnsi="Times New Roman"/>
          <w:sz w:val="24"/>
          <w:szCs w:val="24"/>
        </w:rPr>
        <w:t xml:space="preserve">Para el estudio de las asociaciones de los factores de riesgo con la ERCnT, se realizó el mismo procedimiento, pero restringiendo el análisis a la </w:t>
      </w:r>
      <w:proofErr w:type="spellStart"/>
      <w:r w:rsidRPr="005E1068">
        <w:rPr>
          <w:rFonts w:ascii="Times New Roman" w:hAnsi="Times New Roman"/>
          <w:sz w:val="24"/>
          <w:szCs w:val="24"/>
        </w:rPr>
        <w:t>submuestra</w:t>
      </w:r>
      <w:proofErr w:type="spellEnd"/>
      <w:r w:rsidRPr="005E1068">
        <w:rPr>
          <w:rFonts w:ascii="Times New Roman" w:hAnsi="Times New Roman"/>
          <w:sz w:val="24"/>
          <w:szCs w:val="24"/>
        </w:rPr>
        <w:t xml:space="preserve"> de las 2898 personas que no </w:t>
      </w:r>
      <w:r w:rsidR="00607064" w:rsidRPr="005E1068">
        <w:rPr>
          <w:rFonts w:ascii="Times New Roman" w:hAnsi="Times New Roman"/>
          <w:sz w:val="24"/>
          <w:szCs w:val="24"/>
        </w:rPr>
        <w:t>padecían ni</w:t>
      </w:r>
      <w:r w:rsidR="00FD6E8B" w:rsidRPr="005E1068">
        <w:rPr>
          <w:rFonts w:ascii="Times New Roman" w:hAnsi="Times New Roman"/>
          <w:sz w:val="24"/>
          <w:szCs w:val="24"/>
        </w:rPr>
        <w:t xml:space="preserve"> diabetes ni hipertensión</w:t>
      </w:r>
    </w:p>
    <w:p w14:paraId="33104584" w14:textId="77777777" w:rsidR="00FD6E8B" w:rsidRPr="005E1068" w:rsidRDefault="00FD6E8B" w:rsidP="00F943D2">
      <w:pPr>
        <w:spacing w:after="0" w:line="276" w:lineRule="auto"/>
        <w:jc w:val="both"/>
        <w:rPr>
          <w:rFonts w:ascii="Times New Roman" w:hAnsi="Times New Roman"/>
          <w:sz w:val="24"/>
          <w:szCs w:val="24"/>
        </w:rPr>
      </w:pPr>
    </w:p>
    <w:p w14:paraId="594CF0A6" w14:textId="2CA713CC" w:rsidR="0022727C" w:rsidRPr="005E1068" w:rsidRDefault="00F943D2" w:rsidP="00FA1021">
      <w:pPr>
        <w:spacing w:after="0" w:line="276" w:lineRule="auto"/>
        <w:jc w:val="both"/>
        <w:rPr>
          <w:rFonts w:ascii="Times New Roman" w:hAnsi="Times New Roman"/>
          <w:sz w:val="24"/>
          <w:szCs w:val="24"/>
        </w:rPr>
      </w:pPr>
      <w:r w:rsidRPr="005E1068">
        <w:rPr>
          <w:rFonts w:ascii="Times New Roman" w:hAnsi="Times New Roman"/>
          <w:sz w:val="24"/>
          <w:szCs w:val="24"/>
        </w:rPr>
        <w:t xml:space="preserve">ENECA-ELS-2015 incluyó el registro de cientos de variables primarias, provenientes de la entrevista y las mediciones. Para el presente estudio se seleccionaron solo algunas: tres de naturaleza general (sexo, edad, urbano-ruralidad), y aquellas que registraban las exposiciones pasadas a condiciones asociadas a los agroquímicos o a estos productos propiamente dichos. Las respuestas mostraron la existencia de contacto previo con una gran cantidad de pesticidas específicos (39 en total), </w:t>
      </w:r>
      <w:r w:rsidR="00FD6E8B" w:rsidRPr="005E1068">
        <w:rPr>
          <w:rFonts w:ascii="Times New Roman" w:hAnsi="Times New Roman"/>
          <w:sz w:val="24"/>
          <w:szCs w:val="24"/>
        </w:rPr>
        <w:t>destacadamente</w:t>
      </w:r>
      <w:r w:rsidRPr="005E1068">
        <w:rPr>
          <w:rFonts w:ascii="Times New Roman" w:hAnsi="Times New Roman"/>
          <w:sz w:val="24"/>
          <w:szCs w:val="24"/>
        </w:rPr>
        <w:t xml:space="preserve"> el </w:t>
      </w:r>
      <w:proofErr w:type="spellStart"/>
      <w:r w:rsidRPr="005E1068">
        <w:rPr>
          <w:rFonts w:ascii="Times New Roman" w:hAnsi="Times New Roman"/>
          <w:sz w:val="24"/>
          <w:szCs w:val="24"/>
        </w:rPr>
        <w:t>paraquat</w:t>
      </w:r>
      <w:proofErr w:type="spellEnd"/>
      <w:r w:rsidRPr="005E1068">
        <w:rPr>
          <w:rFonts w:ascii="Times New Roman" w:hAnsi="Times New Roman"/>
          <w:sz w:val="24"/>
          <w:szCs w:val="24"/>
        </w:rPr>
        <w:t xml:space="preserve"> como el producto más utilizado. Esto fue consistente con la frecuencia mucho mayor de envenenamiento con </w:t>
      </w:r>
      <w:proofErr w:type="spellStart"/>
      <w:r w:rsidRPr="005E1068">
        <w:rPr>
          <w:rFonts w:ascii="Times New Roman" w:hAnsi="Times New Roman"/>
          <w:sz w:val="24"/>
          <w:szCs w:val="24"/>
        </w:rPr>
        <w:t>pa</w:t>
      </w:r>
      <w:r w:rsidR="00FD6E8B" w:rsidRPr="005E1068">
        <w:rPr>
          <w:rFonts w:ascii="Times New Roman" w:hAnsi="Times New Roman"/>
          <w:sz w:val="24"/>
          <w:szCs w:val="24"/>
        </w:rPr>
        <w:t>raquat</w:t>
      </w:r>
      <w:proofErr w:type="spellEnd"/>
      <w:r w:rsidR="00FD6E8B" w:rsidRPr="005E1068">
        <w:rPr>
          <w:rFonts w:ascii="Times New Roman" w:hAnsi="Times New Roman"/>
          <w:sz w:val="24"/>
          <w:szCs w:val="24"/>
        </w:rPr>
        <w:t xml:space="preserve"> que con otros pesticidas</w:t>
      </w:r>
      <w:r w:rsidRPr="005E1068">
        <w:rPr>
          <w:rFonts w:ascii="Times New Roman" w:hAnsi="Times New Roman"/>
          <w:sz w:val="24"/>
          <w:szCs w:val="24"/>
        </w:rPr>
        <w:t xml:space="preserve"> en El Sal</w:t>
      </w:r>
      <w:r w:rsidR="00FD6E8B" w:rsidRPr="005E1068">
        <w:rPr>
          <w:rFonts w:ascii="Times New Roman" w:hAnsi="Times New Roman"/>
          <w:sz w:val="24"/>
          <w:szCs w:val="24"/>
        </w:rPr>
        <w:t>vador.</w:t>
      </w:r>
      <w:r w:rsidRPr="005E1068">
        <w:rPr>
          <w:rStyle w:val="Refdenotaalfinal"/>
          <w:rFonts w:ascii="Times New Roman" w:hAnsi="Times New Roman"/>
          <w:sz w:val="24"/>
          <w:szCs w:val="24"/>
          <w:lang w:val="en-US"/>
        </w:rPr>
        <w:endnoteReference w:id="34"/>
      </w:r>
      <w:r w:rsidRPr="005E1068">
        <w:rPr>
          <w:rStyle w:val="Refdenotaalfinal"/>
          <w:rFonts w:ascii="Times New Roman" w:hAnsi="Times New Roman"/>
          <w:lang w:val="es-ES_tradnl"/>
        </w:rPr>
        <w:t xml:space="preserve"> </w:t>
      </w:r>
      <w:r w:rsidRPr="005E1068">
        <w:rPr>
          <w:rFonts w:ascii="Times New Roman" w:hAnsi="Times New Roman"/>
          <w:sz w:val="24"/>
          <w:szCs w:val="24"/>
        </w:rPr>
        <w:t xml:space="preserve">Se determinó la duración de la exposición previa a este producto específico, a agroquímicos en general, a agroquímicos considerados </w:t>
      </w:r>
      <w:proofErr w:type="spellStart"/>
      <w:r w:rsidRPr="005E1068">
        <w:rPr>
          <w:rFonts w:ascii="Times New Roman" w:hAnsi="Times New Roman"/>
          <w:sz w:val="24"/>
          <w:szCs w:val="24"/>
        </w:rPr>
        <w:t>nefrotóxicos</w:t>
      </w:r>
      <w:proofErr w:type="spellEnd"/>
      <w:r w:rsidRPr="005E1068">
        <w:rPr>
          <w:rFonts w:ascii="Times New Roman" w:hAnsi="Times New Roman"/>
          <w:sz w:val="24"/>
          <w:szCs w:val="24"/>
        </w:rPr>
        <w:t xml:space="preserve"> y a aquellos </w:t>
      </w:r>
      <w:r w:rsidR="00FD6E8B" w:rsidRPr="005E1068">
        <w:rPr>
          <w:rFonts w:ascii="Times New Roman" w:hAnsi="Times New Roman"/>
          <w:sz w:val="24"/>
          <w:szCs w:val="24"/>
        </w:rPr>
        <w:t xml:space="preserve">incluidos </w:t>
      </w:r>
      <w:r w:rsidRPr="005E1068">
        <w:rPr>
          <w:rFonts w:ascii="Times New Roman" w:hAnsi="Times New Roman"/>
          <w:sz w:val="24"/>
          <w:szCs w:val="24"/>
        </w:rPr>
        <w:t xml:space="preserve">en los diferentes grupos definidos por la OMS de acuerdo con el riesgo </w:t>
      </w:r>
      <w:r w:rsidR="00FD6E8B" w:rsidRPr="005E1068">
        <w:rPr>
          <w:rFonts w:ascii="Times New Roman" w:hAnsi="Times New Roman"/>
          <w:sz w:val="24"/>
          <w:szCs w:val="24"/>
        </w:rPr>
        <w:t>asociado a su empleo.</w:t>
      </w:r>
      <w:r w:rsidRPr="005E1068">
        <w:rPr>
          <w:rStyle w:val="Refdenotaalfinal"/>
          <w:rFonts w:ascii="Times New Roman" w:hAnsi="Times New Roman"/>
          <w:sz w:val="24"/>
          <w:szCs w:val="24"/>
          <w:lang w:val="en-US"/>
        </w:rPr>
        <w:endnoteReference w:id="35"/>
      </w:r>
      <w:r w:rsidRPr="005E1068">
        <w:rPr>
          <w:rFonts w:ascii="Times New Roman" w:hAnsi="Times New Roman"/>
          <w:sz w:val="24"/>
          <w:szCs w:val="24"/>
        </w:rPr>
        <w:t xml:space="preserve"> Las codificaciones establecidas (rojo, amarillo, azul y verde) indican grados de mayor a menor peligro de </w:t>
      </w:r>
      <w:r w:rsidRPr="005E1068">
        <w:rPr>
          <w:rFonts w:ascii="Times New Roman" w:hAnsi="Times New Roman"/>
          <w:sz w:val="24"/>
          <w:szCs w:val="24"/>
        </w:rPr>
        <w:lastRenderedPageBreak/>
        <w:t>producir intoxicación. Estas advertencias se refieren a daños agudos, pero la lesión repetida</w:t>
      </w:r>
      <w:r w:rsidR="00FD6E8B" w:rsidRPr="005E1068">
        <w:rPr>
          <w:rFonts w:ascii="Times New Roman" w:hAnsi="Times New Roman"/>
          <w:sz w:val="24"/>
          <w:szCs w:val="24"/>
        </w:rPr>
        <w:t>,</w:t>
      </w:r>
      <w:r w:rsidRPr="005E1068">
        <w:rPr>
          <w:rFonts w:ascii="Times New Roman" w:hAnsi="Times New Roman"/>
          <w:sz w:val="24"/>
          <w:szCs w:val="24"/>
        </w:rPr>
        <w:t xml:space="preserve"> obviamente</w:t>
      </w:r>
      <w:r w:rsidR="00FD6E8B" w:rsidRPr="005E1068">
        <w:rPr>
          <w:rFonts w:ascii="Times New Roman" w:hAnsi="Times New Roman"/>
          <w:sz w:val="24"/>
          <w:szCs w:val="24"/>
        </w:rPr>
        <w:t>,</w:t>
      </w:r>
      <w:r w:rsidRPr="005E1068">
        <w:rPr>
          <w:rFonts w:ascii="Times New Roman" w:hAnsi="Times New Roman"/>
          <w:sz w:val="24"/>
          <w:szCs w:val="24"/>
        </w:rPr>
        <w:t xml:space="preserve"> puede conducir a la enfermedad.</w:t>
      </w:r>
    </w:p>
    <w:p w14:paraId="5CDB8DAB" w14:textId="7338FCF8" w:rsidR="004A6465" w:rsidRPr="005E1068" w:rsidRDefault="004A6465" w:rsidP="004A6465">
      <w:pPr>
        <w:spacing w:after="0" w:line="360" w:lineRule="auto"/>
        <w:jc w:val="both"/>
        <w:rPr>
          <w:rFonts w:ascii="Times New Roman" w:hAnsi="Times New Roman"/>
          <w:sz w:val="24"/>
          <w:szCs w:val="24"/>
          <w:lang w:val="es-ES_tradnl"/>
        </w:rPr>
      </w:pPr>
    </w:p>
    <w:p w14:paraId="1C157E92" w14:textId="66BABBCF" w:rsidR="004A6465" w:rsidRPr="005E1068" w:rsidRDefault="004A6465" w:rsidP="004A6465">
      <w:pPr>
        <w:spacing w:after="0" w:line="276" w:lineRule="auto"/>
        <w:jc w:val="both"/>
        <w:rPr>
          <w:rFonts w:ascii="Times New Roman" w:hAnsi="Times New Roman"/>
          <w:sz w:val="24"/>
          <w:szCs w:val="24"/>
        </w:rPr>
      </w:pPr>
      <w:r w:rsidRPr="005E1068">
        <w:rPr>
          <w:rFonts w:ascii="Times New Roman" w:hAnsi="Times New Roman"/>
          <w:sz w:val="24"/>
          <w:szCs w:val="24"/>
        </w:rPr>
        <w:t xml:space="preserve">Se midió asimismo el tiempo durante el cual las siguientes condiciones asociadas con los agroquímicos prevalecieron </w:t>
      </w:r>
      <w:r w:rsidR="00FA1021" w:rsidRPr="005E1068">
        <w:rPr>
          <w:rFonts w:ascii="Times New Roman" w:hAnsi="Times New Roman"/>
          <w:sz w:val="24"/>
          <w:szCs w:val="24"/>
        </w:rPr>
        <w:t>a lo largo de</w:t>
      </w:r>
      <w:r w:rsidRPr="005E1068">
        <w:rPr>
          <w:rFonts w:ascii="Times New Roman" w:hAnsi="Times New Roman"/>
          <w:sz w:val="24"/>
          <w:szCs w:val="24"/>
        </w:rPr>
        <w:t xml:space="preserve"> la vida de los encuestados:</w:t>
      </w:r>
    </w:p>
    <w:p w14:paraId="7FA55903" w14:textId="77777777" w:rsidR="004A6465" w:rsidRPr="005E1068" w:rsidRDefault="004A6465" w:rsidP="004A6465">
      <w:pPr>
        <w:spacing w:after="0" w:line="276" w:lineRule="auto"/>
        <w:jc w:val="both"/>
        <w:rPr>
          <w:rFonts w:ascii="Times New Roman" w:hAnsi="Times New Roman"/>
          <w:sz w:val="24"/>
          <w:szCs w:val="24"/>
        </w:rPr>
      </w:pPr>
    </w:p>
    <w:p w14:paraId="0554CE37" w14:textId="77777777" w:rsidR="004A6465" w:rsidRPr="005E1068" w:rsidRDefault="004A6465" w:rsidP="004A6465">
      <w:pPr>
        <w:pStyle w:val="Prrafodelista"/>
        <w:numPr>
          <w:ilvl w:val="0"/>
          <w:numId w:val="42"/>
        </w:numPr>
        <w:spacing w:after="0" w:line="276" w:lineRule="auto"/>
        <w:jc w:val="both"/>
        <w:rPr>
          <w:rFonts w:ascii="Times New Roman" w:hAnsi="Times New Roman"/>
          <w:sz w:val="24"/>
          <w:szCs w:val="24"/>
        </w:rPr>
      </w:pPr>
      <w:r w:rsidRPr="005E1068">
        <w:rPr>
          <w:rFonts w:ascii="Times New Roman" w:hAnsi="Times New Roman"/>
          <w:sz w:val="24"/>
          <w:szCs w:val="24"/>
        </w:rPr>
        <w:t>Consumo diario de vasos de agua en los últimos 5 años (menos de 4, entre 4 y 8, entre 9 y 12, más de 12)</w:t>
      </w:r>
    </w:p>
    <w:p w14:paraId="2177CCDA" w14:textId="77777777" w:rsidR="004A6465" w:rsidRPr="005E1068" w:rsidRDefault="004A6465" w:rsidP="004A6465">
      <w:pPr>
        <w:pStyle w:val="Prrafodelista"/>
        <w:numPr>
          <w:ilvl w:val="0"/>
          <w:numId w:val="42"/>
        </w:numPr>
        <w:spacing w:after="0" w:line="276" w:lineRule="auto"/>
        <w:jc w:val="both"/>
        <w:rPr>
          <w:rFonts w:ascii="Times New Roman" w:hAnsi="Times New Roman"/>
          <w:sz w:val="24"/>
          <w:szCs w:val="24"/>
        </w:rPr>
      </w:pPr>
      <w:r w:rsidRPr="005E1068">
        <w:rPr>
          <w:rFonts w:ascii="Times New Roman" w:hAnsi="Times New Roman"/>
          <w:bCs/>
          <w:sz w:val="24"/>
          <w:szCs w:val="24"/>
        </w:rPr>
        <w:t xml:space="preserve">Ocupación laboral agrícola </w:t>
      </w:r>
    </w:p>
    <w:p w14:paraId="0BFA9BDE" w14:textId="77777777" w:rsidR="004A6465" w:rsidRPr="005E1068" w:rsidRDefault="004A6465" w:rsidP="004A6465">
      <w:pPr>
        <w:pStyle w:val="Prrafodelista"/>
        <w:numPr>
          <w:ilvl w:val="0"/>
          <w:numId w:val="42"/>
        </w:numPr>
        <w:spacing w:after="0" w:line="276" w:lineRule="auto"/>
        <w:jc w:val="both"/>
        <w:rPr>
          <w:rFonts w:ascii="Times New Roman" w:hAnsi="Times New Roman"/>
          <w:sz w:val="24"/>
          <w:szCs w:val="24"/>
        </w:rPr>
      </w:pPr>
      <w:r w:rsidRPr="005E1068">
        <w:rPr>
          <w:rFonts w:ascii="Times New Roman" w:hAnsi="Times New Roman"/>
          <w:sz w:val="24"/>
          <w:szCs w:val="24"/>
        </w:rPr>
        <w:t>Actividad laboral específicamente asociada con agroquímicos (aplicador de plaguicidas (fumigador), mezclador o formulador de plaguicidas o banderillero)</w:t>
      </w:r>
    </w:p>
    <w:p w14:paraId="283A50DE" w14:textId="77777777" w:rsidR="004A6465" w:rsidRPr="005E1068" w:rsidRDefault="004A6465" w:rsidP="004A6465">
      <w:pPr>
        <w:pStyle w:val="Prrafodelista"/>
        <w:numPr>
          <w:ilvl w:val="0"/>
          <w:numId w:val="42"/>
        </w:numPr>
        <w:spacing w:after="0" w:line="276" w:lineRule="auto"/>
        <w:jc w:val="both"/>
        <w:rPr>
          <w:rFonts w:ascii="Times New Roman" w:hAnsi="Times New Roman"/>
          <w:sz w:val="24"/>
          <w:szCs w:val="24"/>
        </w:rPr>
      </w:pPr>
      <w:r w:rsidRPr="005E1068">
        <w:rPr>
          <w:rFonts w:ascii="Times New Roman" w:hAnsi="Times New Roman"/>
          <w:sz w:val="24"/>
          <w:szCs w:val="24"/>
        </w:rPr>
        <w:t>Consumo de agua de pozo, manantial o río</w:t>
      </w:r>
    </w:p>
    <w:p w14:paraId="603D177C" w14:textId="77777777" w:rsidR="004A6465" w:rsidRPr="005E1068" w:rsidRDefault="004A6465" w:rsidP="004A6465">
      <w:pPr>
        <w:pStyle w:val="Prrafodelista"/>
        <w:numPr>
          <w:ilvl w:val="0"/>
          <w:numId w:val="42"/>
        </w:numPr>
        <w:spacing w:after="0" w:line="276" w:lineRule="auto"/>
        <w:jc w:val="both"/>
        <w:rPr>
          <w:rFonts w:ascii="Times New Roman" w:hAnsi="Times New Roman"/>
          <w:sz w:val="24"/>
          <w:szCs w:val="24"/>
        </w:rPr>
      </w:pPr>
      <w:r w:rsidRPr="005E1068">
        <w:rPr>
          <w:rFonts w:ascii="Times New Roman" w:hAnsi="Times New Roman"/>
          <w:sz w:val="24"/>
          <w:szCs w:val="24"/>
        </w:rPr>
        <w:t>Almacenamiento de productos y equipos de fumigación en la vivienda</w:t>
      </w:r>
    </w:p>
    <w:p w14:paraId="22BACACA" w14:textId="77777777" w:rsidR="004A6465" w:rsidRPr="005E1068" w:rsidRDefault="004A6465" w:rsidP="004A6465">
      <w:pPr>
        <w:pStyle w:val="Prrafodelista"/>
        <w:numPr>
          <w:ilvl w:val="0"/>
          <w:numId w:val="42"/>
        </w:numPr>
        <w:spacing w:after="0" w:line="276" w:lineRule="auto"/>
        <w:jc w:val="both"/>
        <w:rPr>
          <w:rFonts w:ascii="Times New Roman" w:hAnsi="Times New Roman"/>
          <w:sz w:val="24"/>
          <w:szCs w:val="24"/>
        </w:rPr>
      </w:pPr>
      <w:r w:rsidRPr="005E1068">
        <w:rPr>
          <w:rFonts w:ascii="Times New Roman" w:hAnsi="Times New Roman"/>
          <w:sz w:val="24"/>
          <w:szCs w:val="24"/>
        </w:rPr>
        <w:t>Fumigación aérea agroquímica en su área de trabajo o residencia</w:t>
      </w:r>
    </w:p>
    <w:p w14:paraId="6C4DBDDD" w14:textId="77777777" w:rsidR="004A6465" w:rsidRPr="005E1068" w:rsidRDefault="004A6465" w:rsidP="004A6465">
      <w:pPr>
        <w:spacing w:after="0" w:line="360" w:lineRule="auto"/>
        <w:jc w:val="both"/>
        <w:rPr>
          <w:rFonts w:ascii="Times New Roman" w:hAnsi="Times New Roman"/>
          <w:sz w:val="24"/>
          <w:szCs w:val="24"/>
        </w:rPr>
      </w:pPr>
    </w:p>
    <w:p w14:paraId="550758BA" w14:textId="77777777" w:rsidR="004A6465" w:rsidRPr="005E1068" w:rsidRDefault="004A6465" w:rsidP="004A6465">
      <w:pPr>
        <w:spacing w:after="0" w:line="276" w:lineRule="auto"/>
        <w:jc w:val="both"/>
        <w:rPr>
          <w:rFonts w:ascii="Times New Roman" w:hAnsi="Times New Roman"/>
          <w:sz w:val="24"/>
          <w:szCs w:val="24"/>
        </w:rPr>
      </w:pPr>
      <w:r w:rsidRPr="005E1068">
        <w:rPr>
          <w:rFonts w:ascii="Times New Roman" w:hAnsi="Times New Roman"/>
          <w:sz w:val="24"/>
          <w:szCs w:val="24"/>
        </w:rPr>
        <w:t>Adicionalmente, cada sujeto participante fue diagnosticado como:</w:t>
      </w:r>
    </w:p>
    <w:p w14:paraId="15E3CC16" w14:textId="77777777" w:rsidR="004A6465" w:rsidRPr="005E1068" w:rsidRDefault="004A6465" w:rsidP="004A6465">
      <w:pPr>
        <w:spacing w:after="0" w:line="276" w:lineRule="auto"/>
        <w:jc w:val="both"/>
        <w:rPr>
          <w:rFonts w:ascii="Times New Roman" w:hAnsi="Times New Roman"/>
          <w:sz w:val="24"/>
          <w:szCs w:val="24"/>
        </w:rPr>
      </w:pPr>
    </w:p>
    <w:p w14:paraId="5F192CC6" w14:textId="08399935" w:rsidR="004A6465" w:rsidRPr="005E1068" w:rsidRDefault="004A6465" w:rsidP="004A6465">
      <w:pPr>
        <w:pStyle w:val="Prrafodelista"/>
        <w:numPr>
          <w:ilvl w:val="0"/>
          <w:numId w:val="43"/>
        </w:numPr>
        <w:spacing w:after="0" w:line="276" w:lineRule="auto"/>
        <w:jc w:val="both"/>
        <w:rPr>
          <w:rFonts w:ascii="Times New Roman" w:hAnsi="Times New Roman"/>
          <w:sz w:val="24"/>
          <w:szCs w:val="24"/>
        </w:rPr>
      </w:pPr>
      <w:r w:rsidRPr="005E1068">
        <w:rPr>
          <w:rFonts w:ascii="Times New Roman" w:hAnsi="Times New Roman"/>
          <w:bCs/>
          <w:sz w:val="24"/>
          <w:szCs w:val="24"/>
        </w:rPr>
        <w:t xml:space="preserve">Diabético: si refería que se le hubiera diagnosticado diabetes mellitus </w:t>
      </w:r>
      <w:r w:rsidRPr="005E1068">
        <w:rPr>
          <w:rFonts w:ascii="Times New Roman" w:hAnsi="Times New Roman"/>
          <w:sz w:val="24"/>
          <w:szCs w:val="24"/>
        </w:rPr>
        <w:t>antes del estudio por un facultativo, o si durante el estudio se manifestaba esta condición (glucemia≥126mg/</w:t>
      </w:r>
      <w:proofErr w:type="spellStart"/>
      <w:r w:rsidRPr="005E1068">
        <w:rPr>
          <w:rFonts w:ascii="Times New Roman" w:hAnsi="Times New Roman"/>
          <w:sz w:val="24"/>
          <w:szCs w:val="24"/>
        </w:rPr>
        <w:t>dL</w:t>
      </w:r>
      <w:proofErr w:type="spellEnd"/>
      <w:r w:rsidRPr="005E1068">
        <w:rPr>
          <w:rFonts w:ascii="Times New Roman" w:hAnsi="Times New Roman"/>
          <w:sz w:val="24"/>
          <w:szCs w:val="24"/>
        </w:rPr>
        <w:t>)</w:t>
      </w:r>
    </w:p>
    <w:p w14:paraId="63D79E64" w14:textId="230EE7E3" w:rsidR="004A6465" w:rsidRPr="005E1068" w:rsidRDefault="004A6465" w:rsidP="004A6465">
      <w:pPr>
        <w:pStyle w:val="Prrafodelista"/>
        <w:numPr>
          <w:ilvl w:val="0"/>
          <w:numId w:val="43"/>
        </w:numPr>
        <w:spacing w:after="0" w:line="276" w:lineRule="auto"/>
        <w:jc w:val="both"/>
        <w:rPr>
          <w:rFonts w:ascii="Times New Roman" w:hAnsi="Times New Roman"/>
          <w:sz w:val="24"/>
          <w:szCs w:val="24"/>
        </w:rPr>
      </w:pPr>
      <w:r w:rsidRPr="005E1068">
        <w:rPr>
          <w:rFonts w:ascii="Times New Roman" w:hAnsi="Times New Roman"/>
          <w:bCs/>
          <w:sz w:val="24"/>
          <w:szCs w:val="24"/>
        </w:rPr>
        <w:t>Hipertenso: si refería que se le hubiera diagnosticado hipertensión arterial antes del estudio por un facultativo</w:t>
      </w:r>
      <w:r w:rsidR="00FD6E8B" w:rsidRPr="005E1068">
        <w:rPr>
          <w:rFonts w:ascii="Times New Roman" w:hAnsi="Times New Roman"/>
          <w:bCs/>
          <w:sz w:val="24"/>
          <w:szCs w:val="24"/>
        </w:rPr>
        <w:t>,</w:t>
      </w:r>
      <w:r w:rsidRPr="005E1068">
        <w:rPr>
          <w:rFonts w:ascii="Times New Roman" w:hAnsi="Times New Roman"/>
          <w:bCs/>
          <w:sz w:val="24"/>
          <w:szCs w:val="24"/>
        </w:rPr>
        <w:t xml:space="preserve"> o si los niveles de tensión </w:t>
      </w:r>
      <w:r w:rsidR="00FD6E8B" w:rsidRPr="005E1068">
        <w:rPr>
          <w:rFonts w:ascii="Times New Roman" w:hAnsi="Times New Roman"/>
          <w:bCs/>
          <w:sz w:val="24"/>
          <w:szCs w:val="24"/>
        </w:rPr>
        <w:t xml:space="preserve">registrados </w:t>
      </w:r>
      <w:r w:rsidRPr="005E1068">
        <w:rPr>
          <w:rFonts w:ascii="Times New Roman" w:hAnsi="Times New Roman"/>
          <w:bCs/>
          <w:sz w:val="24"/>
          <w:szCs w:val="24"/>
        </w:rPr>
        <w:t>así lo indicaban (TA ≥ 140/90</w:t>
      </w:r>
      <w:r w:rsidRPr="005E1068">
        <w:rPr>
          <w:rFonts w:ascii="Times New Roman" w:hAnsi="Times New Roman"/>
        </w:rPr>
        <w:t xml:space="preserve"> </w:t>
      </w:r>
      <w:proofErr w:type="spellStart"/>
      <w:r w:rsidRPr="005E1068">
        <w:rPr>
          <w:rFonts w:ascii="Times New Roman" w:hAnsi="Times New Roman"/>
          <w:bCs/>
          <w:sz w:val="24"/>
          <w:szCs w:val="24"/>
        </w:rPr>
        <w:t>mmHg</w:t>
      </w:r>
      <w:proofErr w:type="spellEnd"/>
      <w:r w:rsidRPr="005E1068">
        <w:rPr>
          <w:rFonts w:ascii="Times New Roman" w:hAnsi="Times New Roman"/>
          <w:bCs/>
          <w:sz w:val="24"/>
          <w:szCs w:val="24"/>
        </w:rPr>
        <w:t>)</w:t>
      </w:r>
    </w:p>
    <w:p w14:paraId="61E442D6" w14:textId="5BFFB48E" w:rsidR="004A6465" w:rsidRPr="005E1068" w:rsidRDefault="004A6465" w:rsidP="004A6465">
      <w:pPr>
        <w:pStyle w:val="Prrafodelista"/>
        <w:numPr>
          <w:ilvl w:val="0"/>
          <w:numId w:val="43"/>
        </w:numPr>
        <w:spacing w:after="0" w:line="276" w:lineRule="auto"/>
        <w:jc w:val="both"/>
        <w:rPr>
          <w:rFonts w:ascii="Times New Roman" w:hAnsi="Times New Roman"/>
          <w:bCs/>
          <w:sz w:val="24"/>
          <w:szCs w:val="24"/>
        </w:rPr>
      </w:pPr>
      <w:r w:rsidRPr="005E1068">
        <w:rPr>
          <w:rFonts w:ascii="Times New Roman" w:hAnsi="Times New Roman"/>
          <w:bCs/>
          <w:sz w:val="24"/>
          <w:szCs w:val="24"/>
        </w:rPr>
        <w:t>Enfermo Renal Crónico (ERC): si presentaba al menos una de dos características:</w:t>
      </w:r>
    </w:p>
    <w:p w14:paraId="0CE4E3C9" w14:textId="77777777" w:rsidR="004A6465" w:rsidRPr="005E1068" w:rsidRDefault="004A6465" w:rsidP="004A6465">
      <w:pPr>
        <w:pStyle w:val="Prrafodelista"/>
        <w:spacing w:after="0" w:line="276" w:lineRule="auto"/>
        <w:ind w:left="1440"/>
        <w:jc w:val="both"/>
        <w:rPr>
          <w:rFonts w:ascii="Times New Roman" w:hAnsi="Times New Roman"/>
          <w:bCs/>
          <w:sz w:val="24"/>
          <w:szCs w:val="24"/>
        </w:rPr>
      </w:pPr>
      <w:r w:rsidRPr="005E1068">
        <w:rPr>
          <w:rFonts w:ascii="Times New Roman" w:hAnsi="Times New Roman"/>
          <w:bCs/>
          <w:sz w:val="24"/>
          <w:szCs w:val="24"/>
        </w:rPr>
        <w:t>a) Tasa de Filtración Glomerular (TFG) &lt;60 ml/min/1,73m</w:t>
      </w:r>
      <w:r w:rsidRPr="005E1068">
        <w:rPr>
          <w:rFonts w:ascii="Times New Roman" w:hAnsi="Times New Roman"/>
          <w:bCs/>
          <w:sz w:val="24"/>
          <w:szCs w:val="24"/>
          <w:vertAlign w:val="superscript"/>
        </w:rPr>
        <w:t>2</w:t>
      </w:r>
      <w:r w:rsidRPr="005E1068">
        <w:rPr>
          <w:rFonts w:ascii="Times New Roman" w:hAnsi="Times New Roman"/>
          <w:bCs/>
          <w:sz w:val="24"/>
          <w:szCs w:val="24"/>
        </w:rPr>
        <w:t>SC o</w:t>
      </w:r>
    </w:p>
    <w:p w14:paraId="440359E8" w14:textId="34E12858" w:rsidR="004A6465" w:rsidRPr="005E1068" w:rsidRDefault="004A6465" w:rsidP="004A6465">
      <w:pPr>
        <w:pStyle w:val="Prrafodelista"/>
        <w:spacing w:after="0" w:line="276" w:lineRule="auto"/>
        <w:ind w:left="1440"/>
        <w:jc w:val="both"/>
        <w:rPr>
          <w:rFonts w:ascii="Times New Roman" w:hAnsi="Times New Roman"/>
          <w:bCs/>
          <w:sz w:val="24"/>
          <w:szCs w:val="24"/>
        </w:rPr>
      </w:pPr>
      <w:r w:rsidRPr="005E1068">
        <w:rPr>
          <w:rFonts w:ascii="Times New Roman" w:hAnsi="Times New Roman"/>
          <w:bCs/>
          <w:sz w:val="24"/>
          <w:szCs w:val="24"/>
        </w:rPr>
        <w:t>b) TFG ≥ 60 ml/min/1,</w:t>
      </w:r>
      <w:proofErr w:type="gramStart"/>
      <w:r w:rsidRPr="005E1068">
        <w:rPr>
          <w:rFonts w:ascii="Times New Roman" w:hAnsi="Times New Roman"/>
          <w:bCs/>
          <w:sz w:val="24"/>
          <w:szCs w:val="24"/>
        </w:rPr>
        <w:t>73m</w:t>
      </w:r>
      <w:r w:rsidRPr="005E1068">
        <w:rPr>
          <w:rFonts w:ascii="Times New Roman" w:hAnsi="Times New Roman"/>
          <w:bCs/>
          <w:sz w:val="24"/>
          <w:szCs w:val="24"/>
          <w:vertAlign w:val="superscript"/>
        </w:rPr>
        <w:t>2</w:t>
      </w:r>
      <w:r w:rsidRPr="005E1068">
        <w:rPr>
          <w:rFonts w:ascii="Times New Roman" w:hAnsi="Times New Roman"/>
          <w:bCs/>
          <w:sz w:val="24"/>
          <w:szCs w:val="24"/>
        </w:rPr>
        <w:t>SC</w:t>
      </w:r>
      <w:proofErr w:type="gramEnd"/>
      <w:r w:rsidRPr="005E1068">
        <w:rPr>
          <w:rFonts w:ascii="Times New Roman" w:hAnsi="Times New Roman"/>
          <w:bCs/>
          <w:sz w:val="24"/>
          <w:szCs w:val="24"/>
        </w:rPr>
        <w:t xml:space="preserve"> </w:t>
      </w:r>
      <w:r w:rsidR="00FD6E8B" w:rsidRPr="005E1068">
        <w:rPr>
          <w:rFonts w:ascii="Times New Roman" w:hAnsi="Times New Roman"/>
          <w:bCs/>
          <w:sz w:val="24"/>
          <w:szCs w:val="24"/>
        </w:rPr>
        <w:t xml:space="preserve">pero </w:t>
      </w:r>
      <w:r w:rsidRPr="005E1068">
        <w:rPr>
          <w:rFonts w:ascii="Times New Roman" w:hAnsi="Times New Roman"/>
          <w:bCs/>
          <w:sz w:val="24"/>
          <w:szCs w:val="24"/>
        </w:rPr>
        <w:t xml:space="preserve">con </w:t>
      </w:r>
      <w:r w:rsidR="00FD6E8B" w:rsidRPr="005E1068">
        <w:rPr>
          <w:rFonts w:ascii="Times New Roman" w:hAnsi="Times New Roman"/>
          <w:bCs/>
          <w:sz w:val="24"/>
          <w:szCs w:val="24"/>
        </w:rPr>
        <w:t>valores del</w:t>
      </w:r>
      <w:r w:rsidRPr="005E1068">
        <w:rPr>
          <w:rFonts w:ascii="Times New Roman" w:hAnsi="Times New Roman"/>
          <w:bCs/>
          <w:sz w:val="24"/>
          <w:szCs w:val="24"/>
        </w:rPr>
        <w:t xml:space="preserve"> Índice Albúmina Creatinina ≥ 30 mg/g tanto en la medición inicial como en la realizada tres meses más tarde.</w:t>
      </w:r>
    </w:p>
    <w:p w14:paraId="4F9CE27C" w14:textId="58478EAD" w:rsidR="004A6465" w:rsidRPr="005E1068" w:rsidRDefault="004A6465" w:rsidP="004A6465">
      <w:pPr>
        <w:pStyle w:val="Prrafodelista"/>
        <w:numPr>
          <w:ilvl w:val="0"/>
          <w:numId w:val="43"/>
        </w:numPr>
        <w:spacing w:after="0" w:line="276" w:lineRule="auto"/>
        <w:jc w:val="both"/>
        <w:rPr>
          <w:rFonts w:ascii="Times New Roman" w:hAnsi="Times New Roman"/>
          <w:bCs/>
          <w:sz w:val="24"/>
          <w:szCs w:val="24"/>
        </w:rPr>
      </w:pPr>
      <w:r w:rsidRPr="005E1068">
        <w:rPr>
          <w:rFonts w:ascii="Times New Roman" w:hAnsi="Times New Roman"/>
          <w:bCs/>
          <w:sz w:val="24"/>
          <w:szCs w:val="24"/>
        </w:rPr>
        <w:t>Enfermo Renal Crónico de causas no Tradicionales (ERCnT): si padecía de ERC, pero no de hipertensión arterial ni de diabetes mellitus.</w:t>
      </w:r>
    </w:p>
    <w:p w14:paraId="463DC905" w14:textId="77777777" w:rsidR="004A6465" w:rsidRPr="005E1068" w:rsidRDefault="004A6465" w:rsidP="00772B81">
      <w:pPr>
        <w:spacing w:line="360" w:lineRule="auto"/>
        <w:jc w:val="both"/>
        <w:rPr>
          <w:rFonts w:ascii="Times New Roman" w:hAnsi="Times New Roman"/>
          <w:sz w:val="24"/>
          <w:szCs w:val="24"/>
        </w:rPr>
      </w:pPr>
    </w:p>
    <w:p w14:paraId="59E5B81D" w14:textId="77777777" w:rsidR="00EE6135" w:rsidRPr="005E1068" w:rsidRDefault="00EE6135" w:rsidP="00EE6135">
      <w:pPr>
        <w:spacing w:after="0" w:line="276" w:lineRule="auto"/>
        <w:jc w:val="both"/>
        <w:rPr>
          <w:rFonts w:ascii="Times New Roman" w:hAnsi="Times New Roman"/>
          <w:sz w:val="24"/>
          <w:szCs w:val="24"/>
        </w:rPr>
      </w:pPr>
      <w:bookmarkStart w:id="4" w:name="_Toc511499892"/>
      <w:r w:rsidRPr="005E1068">
        <w:rPr>
          <w:rFonts w:ascii="Times New Roman" w:hAnsi="Times New Roman"/>
          <w:sz w:val="24"/>
          <w:szCs w:val="24"/>
        </w:rPr>
        <w:t>Se construyeron variables dicotómicas para establecer si las exposiciones previas a agroquímicos o a las condiciones asociadas con ellas ocurrieron en cierta medida o no. Para evaluar la posible relación entre el grado de exposición y la enfermedad se crearon, además, variables que indican si la exposición se extendió por al menos 5 y por al menos 10 años.</w:t>
      </w:r>
    </w:p>
    <w:p w14:paraId="1F7E17F9" w14:textId="494C4E73" w:rsidR="00EE6135" w:rsidRPr="005E1068" w:rsidRDefault="00EE6135" w:rsidP="00772B81">
      <w:pPr>
        <w:spacing w:line="360" w:lineRule="auto"/>
        <w:jc w:val="both"/>
        <w:rPr>
          <w:rFonts w:ascii="Times New Roman" w:hAnsi="Times New Roman"/>
          <w:sz w:val="24"/>
          <w:szCs w:val="24"/>
        </w:rPr>
      </w:pPr>
    </w:p>
    <w:bookmarkEnd w:id="4"/>
    <w:p w14:paraId="79DC641B" w14:textId="2AFB8C13" w:rsidR="00EE6135" w:rsidRPr="005E1068" w:rsidRDefault="00EE6135" w:rsidP="00FD6E8B">
      <w:pPr>
        <w:spacing w:line="240" w:lineRule="auto"/>
        <w:jc w:val="both"/>
        <w:rPr>
          <w:rFonts w:ascii="Times New Roman" w:hAnsi="Times New Roman"/>
          <w:sz w:val="24"/>
          <w:szCs w:val="24"/>
        </w:rPr>
      </w:pPr>
      <w:r w:rsidRPr="005E1068">
        <w:rPr>
          <w:rStyle w:val="Ttulo3Car"/>
          <w:rFonts w:ascii="Times New Roman" w:hAnsi="Times New Roman"/>
          <w:b/>
          <w:color w:val="auto"/>
          <w:lang w:val="es-ES_tradnl"/>
        </w:rPr>
        <w:t>Análisis estadístico</w:t>
      </w:r>
      <w:r w:rsidRPr="005E1068">
        <w:rPr>
          <w:rStyle w:val="Ttulo3Car"/>
          <w:rFonts w:ascii="Times New Roman" w:hAnsi="Times New Roman"/>
          <w:color w:val="auto"/>
          <w:lang w:val="es-ES_tradnl"/>
        </w:rPr>
        <w:t xml:space="preserve">: </w:t>
      </w:r>
      <w:r w:rsidRPr="005E1068">
        <w:rPr>
          <w:rFonts w:ascii="Times New Roman" w:hAnsi="Times New Roman"/>
          <w:sz w:val="24"/>
          <w:szCs w:val="24"/>
          <w:lang w:val="es-ES_tradnl"/>
        </w:rPr>
        <w:t xml:space="preserve">En el caso de las variables dicotómicas, el análisis se concentró en la estimación de la razón de </w:t>
      </w:r>
      <w:proofErr w:type="spellStart"/>
      <w:r w:rsidRPr="005E1068">
        <w:rPr>
          <w:rFonts w:ascii="Times New Roman" w:hAnsi="Times New Roman"/>
          <w:sz w:val="24"/>
          <w:szCs w:val="24"/>
          <w:lang w:val="es-ES_tradnl"/>
        </w:rPr>
        <w:t>odds</w:t>
      </w:r>
      <w:proofErr w:type="spellEnd"/>
      <w:r w:rsidRPr="005E1068">
        <w:rPr>
          <w:rFonts w:ascii="Times New Roman" w:hAnsi="Times New Roman"/>
          <w:sz w:val="24"/>
          <w:szCs w:val="24"/>
          <w:lang w:val="es-ES_tradnl"/>
        </w:rPr>
        <w:t xml:space="preserve"> (OR) para cada factor de riesgo con respecto a padecer ERC o ERCnT. </w:t>
      </w:r>
      <w:r w:rsidRPr="005E1068">
        <w:rPr>
          <w:rFonts w:ascii="Times New Roman" w:hAnsi="Times New Roman"/>
          <w:sz w:val="24"/>
          <w:szCs w:val="24"/>
        </w:rPr>
        <w:t xml:space="preserve">Para las variables continuas que miden </w:t>
      </w:r>
      <w:r w:rsidRPr="005E1068">
        <w:rPr>
          <w:rFonts w:ascii="Times New Roman" w:hAnsi="Times New Roman"/>
          <w:bCs/>
          <w:sz w:val="24"/>
          <w:szCs w:val="24"/>
        </w:rPr>
        <w:t>lapsos de exposición a agroquímicos o a condiciones asociadas a ellos</w:t>
      </w:r>
      <w:r w:rsidRPr="005E1068">
        <w:rPr>
          <w:rFonts w:ascii="Times New Roman" w:hAnsi="Times New Roman"/>
          <w:sz w:val="24"/>
          <w:szCs w:val="24"/>
        </w:rPr>
        <w:t xml:space="preserve">, se calcularon y compararon los valores medios para casos y controles y sus diferencias. El análisis para la ERCnT se llevó a cabo </w:t>
      </w:r>
      <w:r w:rsidRPr="005E1068">
        <w:rPr>
          <w:rFonts w:ascii="Times New Roman" w:hAnsi="Times New Roman"/>
          <w:sz w:val="24"/>
          <w:szCs w:val="24"/>
        </w:rPr>
        <w:lastRenderedPageBreak/>
        <w:t>de manera análoga, pero trabajando solo con aquellos elementos de la muestra que no padecían ni diabetes ni hipertensión.</w:t>
      </w:r>
      <w:bookmarkStart w:id="5" w:name="_Toc511499893"/>
    </w:p>
    <w:p w14:paraId="1FD56751" w14:textId="3C44E2A9" w:rsidR="00EE6135" w:rsidRPr="005E1068" w:rsidRDefault="00EE6135" w:rsidP="00EE6135">
      <w:pPr>
        <w:spacing w:after="0" w:line="276" w:lineRule="auto"/>
        <w:jc w:val="both"/>
        <w:rPr>
          <w:rFonts w:ascii="Times New Roman" w:hAnsi="Times New Roman"/>
          <w:sz w:val="24"/>
          <w:szCs w:val="24"/>
        </w:rPr>
      </w:pPr>
      <w:r w:rsidRPr="005E1068">
        <w:rPr>
          <w:rFonts w:ascii="Times New Roman" w:hAnsi="Times New Roman"/>
          <w:sz w:val="24"/>
          <w:szCs w:val="24"/>
        </w:rPr>
        <w:t xml:space="preserve">Para evaluar el efecto del contacto previo con agroquímicos en la ERC, se utilizó la regresión logística para controlar el sexo, la edad, la condición urbano-rural, el consumo de agua, la hipertensión y la diabetes. Con el fin de evaluar el efecto del contacto previo con agroquímicos en </w:t>
      </w:r>
      <w:r w:rsidRPr="005E1068">
        <w:rPr>
          <w:rFonts w:ascii="Times New Roman" w:hAnsi="Times New Roman"/>
          <w:sz w:val="24"/>
          <w:szCs w:val="24"/>
          <w:lang w:val="es-ES_tradnl"/>
        </w:rPr>
        <w:t>ERCnT</w:t>
      </w:r>
      <w:r w:rsidRPr="005E1068">
        <w:rPr>
          <w:rFonts w:ascii="Times New Roman" w:hAnsi="Times New Roman"/>
          <w:sz w:val="24"/>
          <w:szCs w:val="24"/>
        </w:rPr>
        <w:t xml:space="preserve">, </w:t>
      </w:r>
      <w:r w:rsidR="00FD6E8B" w:rsidRPr="005E1068">
        <w:rPr>
          <w:rFonts w:ascii="Times New Roman" w:hAnsi="Times New Roman"/>
          <w:sz w:val="24"/>
          <w:szCs w:val="24"/>
        </w:rPr>
        <w:t>a través de la propia regresión logística se</w:t>
      </w:r>
      <w:r w:rsidRPr="005E1068">
        <w:rPr>
          <w:rFonts w:ascii="Times New Roman" w:hAnsi="Times New Roman"/>
          <w:sz w:val="24"/>
          <w:szCs w:val="24"/>
        </w:rPr>
        <w:t xml:space="preserve"> control</w:t>
      </w:r>
      <w:r w:rsidR="00FD6E8B" w:rsidRPr="005E1068">
        <w:rPr>
          <w:rFonts w:ascii="Times New Roman" w:hAnsi="Times New Roman"/>
          <w:sz w:val="24"/>
          <w:szCs w:val="24"/>
        </w:rPr>
        <w:t>ó</w:t>
      </w:r>
      <w:r w:rsidRPr="005E1068">
        <w:rPr>
          <w:rFonts w:ascii="Times New Roman" w:hAnsi="Times New Roman"/>
          <w:sz w:val="24"/>
          <w:szCs w:val="24"/>
        </w:rPr>
        <w:t xml:space="preserve"> el sexo, la edad, la condición </w:t>
      </w:r>
      <w:r w:rsidR="00FD6E8B" w:rsidRPr="005E1068">
        <w:rPr>
          <w:rFonts w:ascii="Times New Roman" w:hAnsi="Times New Roman"/>
          <w:sz w:val="24"/>
          <w:szCs w:val="24"/>
        </w:rPr>
        <w:t xml:space="preserve">de </w:t>
      </w:r>
      <w:r w:rsidRPr="005E1068">
        <w:rPr>
          <w:rFonts w:ascii="Times New Roman" w:hAnsi="Times New Roman"/>
          <w:sz w:val="24"/>
          <w:szCs w:val="24"/>
        </w:rPr>
        <w:t>urbano-ruralidad y el consumo de agua.</w:t>
      </w:r>
    </w:p>
    <w:p w14:paraId="33E94C3C" w14:textId="4D11D176" w:rsidR="000C13BC" w:rsidRPr="005E1068" w:rsidRDefault="000C13BC" w:rsidP="00772B81">
      <w:pPr>
        <w:spacing w:after="0" w:line="360" w:lineRule="auto"/>
        <w:jc w:val="both"/>
        <w:rPr>
          <w:rFonts w:ascii="Times New Roman" w:hAnsi="Times New Roman"/>
          <w:sz w:val="24"/>
          <w:szCs w:val="24"/>
          <w:lang w:val="es-US"/>
        </w:rPr>
      </w:pPr>
    </w:p>
    <w:p w14:paraId="2E9772F7" w14:textId="09E8FACB" w:rsidR="00EE6135" w:rsidRPr="005E1068" w:rsidRDefault="00EE6135" w:rsidP="00FD6E8B">
      <w:pPr>
        <w:spacing w:after="0" w:line="360" w:lineRule="auto"/>
        <w:jc w:val="both"/>
        <w:rPr>
          <w:rFonts w:ascii="Times New Roman" w:hAnsi="Times New Roman"/>
          <w:sz w:val="24"/>
          <w:szCs w:val="24"/>
        </w:rPr>
      </w:pPr>
      <w:r w:rsidRPr="005E1068">
        <w:rPr>
          <w:rFonts w:ascii="Times New Roman" w:hAnsi="Times New Roman"/>
          <w:sz w:val="24"/>
          <w:szCs w:val="24"/>
        </w:rPr>
        <w:t xml:space="preserve">Para todas las estimaciones se calcularon los intervalos de confianza considerando tanto la estructura compleja del diseño </w:t>
      </w:r>
      <w:proofErr w:type="spellStart"/>
      <w:r w:rsidRPr="005E1068">
        <w:rPr>
          <w:rFonts w:ascii="Times New Roman" w:hAnsi="Times New Roman"/>
          <w:sz w:val="24"/>
          <w:szCs w:val="24"/>
        </w:rPr>
        <w:t>muestral</w:t>
      </w:r>
      <w:proofErr w:type="spellEnd"/>
      <w:r w:rsidRPr="005E1068">
        <w:rPr>
          <w:rFonts w:ascii="Times New Roman" w:hAnsi="Times New Roman"/>
          <w:sz w:val="24"/>
          <w:szCs w:val="24"/>
        </w:rPr>
        <w:t xml:space="preserve"> como las debidas ponderaciones (derivadas de la naturaleza no </w:t>
      </w:r>
      <w:proofErr w:type="spellStart"/>
      <w:r w:rsidRPr="005E1068">
        <w:rPr>
          <w:rFonts w:ascii="Times New Roman" w:hAnsi="Times New Roman"/>
          <w:sz w:val="24"/>
          <w:szCs w:val="24"/>
        </w:rPr>
        <w:t>equiprobabilística</w:t>
      </w:r>
      <w:proofErr w:type="spellEnd"/>
      <w:r w:rsidRPr="005E1068">
        <w:rPr>
          <w:rFonts w:ascii="Times New Roman" w:hAnsi="Times New Roman"/>
          <w:sz w:val="24"/>
          <w:szCs w:val="24"/>
        </w:rPr>
        <w:t xml:space="preserve"> de la muestra y de la necesidad de calibrar la “no-respuesta”).</w:t>
      </w:r>
      <w:r w:rsidR="00FD6E8B" w:rsidRPr="005E1068">
        <w:rPr>
          <w:rFonts w:ascii="Times New Roman" w:hAnsi="Times New Roman"/>
          <w:sz w:val="24"/>
          <w:szCs w:val="24"/>
          <w:lang w:val="es-US"/>
        </w:rPr>
        <w:t xml:space="preserve"> </w:t>
      </w:r>
      <w:r w:rsidR="00FD6E8B" w:rsidRPr="005E1068">
        <w:rPr>
          <w:rStyle w:val="Refdenotaalfinal"/>
          <w:rFonts w:ascii="Times New Roman" w:hAnsi="Times New Roman"/>
          <w:sz w:val="24"/>
          <w:szCs w:val="24"/>
          <w:lang w:val="en-US"/>
        </w:rPr>
        <w:endnoteReference w:id="36"/>
      </w:r>
      <w:r w:rsidR="00FD6E8B" w:rsidRPr="005E1068">
        <w:rPr>
          <w:rFonts w:ascii="Times New Roman" w:hAnsi="Times New Roman"/>
          <w:sz w:val="24"/>
          <w:szCs w:val="24"/>
          <w:lang w:val="es-US"/>
        </w:rPr>
        <w:t xml:space="preserve"> </w:t>
      </w:r>
      <w:r w:rsidR="00FD6E8B" w:rsidRPr="005E1068">
        <w:rPr>
          <w:rStyle w:val="Refdenotaalfinal"/>
          <w:rFonts w:ascii="Times New Roman" w:hAnsi="Times New Roman"/>
          <w:sz w:val="24"/>
          <w:szCs w:val="24"/>
          <w:lang w:val="en-US"/>
        </w:rPr>
        <w:endnoteReference w:id="37"/>
      </w:r>
    </w:p>
    <w:p w14:paraId="557412FE" w14:textId="55598F05" w:rsidR="00EE6135" w:rsidRPr="005E1068" w:rsidRDefault="00EE6135" w:rsidP="00772B81">
      <w:pPr>
        <w:spacing w:after="0" w:line="360" w:lineRule="auto"/>
        <w:jc w:val="both"/>
        <w:rPr>
          <w:rFonts w:ascii="Times New Roman" w:hAnsi="Times New Roman"/>
          <w:sz w:val="24"/>
          <w:szCs w:val="24"/>
          <w:lang w:val="es-US"/>
        </w:rPr>
      </w:pPr>
    </w:p>
    <w:p w14:paraId="65E69B41" w14:textId="77777777" w:rsidR="00EE6135" w:rsidRPr="005E1068" w:rsidRDefault="00EE6135" w:rsidP="00EE6135">
      <w:pPr>
        <w:pStyle w:val="Sinespaciado"/>
        <w:spacing w:line="276" w:lineRule="auto"/>
        <w:jc w:val="both"/>
        <w:rPr>
          <w:rFonts w:ascii="Times New Roman" w:hAnsi="Times New Roman"/>
          <w:sz w:val="24"/>
          <w:szCs w:val="24"/>
        </w:rPr>
      </w:pPr>
      <w:r w:rsidRPr="005E1068">
        <w:rPr>
          <w:rFonts w:ascii="Times New Roman" w:hAnsi="Times New Roman"/>
          <w:sz w:val="24"/>
          <w:szCs w:val="24"/>
        </w:rPr>
        <w:t xml:space="preserve">La información obtenida fue analizada con el paquete estadístico SPSS Versión 24 (módulo de Muestras Complejas), para Windows. </w:t>
      </w:r>
    </w:p>
    <w:p w14:paraId="7F69C54A" w14:textId="77777777" w:rsidR="00EE6135" w:rsidRPr="005E1068" w:rsidRDefault="00EE6135" w:rsidP="00772B81">
      <w:pPr>
        <w:spacing w:after="0" w:line="360" w:lineRule="auto"/>
        <w:jc w:val="both"/>
        <w:rPr>
          <w:rFonts w:ascii="Times New Roman" w:hAnsi="Times New Roman"/>
          <w:sz w:val="24"/>
          <w:szCs w:val="24"/>
        </w:rPr>
      </w:pPr>
    </w:p>
    <w:bookmarkEnd w:id="5"/>
    <w:p w14:paraId="52D77490" w14:textId="0B6838F1" w:rsidR="00687199" w:rsidRPr="005E1068" w:rsidRDefault="00687199" w:rsidP="00687199">
      <w:pPr>
        <w:spacing w:after="0" w:line="276" w:lineRule="auto"/>
        <w:jc w:val="both"/>
        <w:rPr>
          <w:rFonts w:ascii="Times New Roman" w:hAnsi="Times New Roman"/>
          <w:sz w:val="24"/>
          <w:szCs w:val="24"/>
        </w:rPr>
      </w:pPr>
      <w:r w:rsidRPr="005E1068">
        <w:rPr>
          <w:rStyle w:val="Ttulo3Car"/>
          <w:rFonts w:ascii="Times New Roman" w:hAnsi="Times New Roman"/>
          <w:b/>
          <w:color w:val="auto"/>
          <w:lang w:val="es-ES_tradnl"/>
        </w:rPr>
        <w:t>Consideraciones éticas</w:t>
      </w:r>
      <w:r w:rsidRPr="005E1068">
        <w:rPr>
          <w:rFonts w:ascii="Times New Roman" w:hAnsi="Times New Roman"/>
        </w:rPr>
        <w:t xml:space="preserve">: </w:t>
      </w:r>
      <w:r w:rsidRPr="005E1068">
        <w:rPr>
          <w:rFonts w:ascii="Times New Roman" w:hAnsi="Times New Roman"/>
          <w:sz w:val="24"/>
          <w:szCs w:val="24"/>
        </w:rPr>
        <w:t>El estudio fue diseñado y realizado atendiendo a los lineamientos de la Declaración de Helsinki de la Asociación Médica Mundial.</w:t>
      </w:r>
      <w:r w:rsidRPr="005E1068">
        <w:rPr>
          <w:rStyle w:val="Refdenotaalfinal"/>
          <w:rFonts w:ascii="Times New Roman" w:hAnsi="Times New Roman"/>
          <w:sz w:val="24"/>
          <w:szCs w:val="24"/>
          <w:lang w:val="en-US"/>
        </w:rPr>
        <w:endnoteReference w:id="38"/>
      </w:r>
      <w:r w:rsidRPr="005E1068">
        <w:rPr>
          <w:rFonts w:ascii="Times New Roman" w:hAnsi="Times New Roman"/>
          <w:sz w:val="24"/>
          <w:szCs w:val="24"/>
        </w:rPr>
        <w:t xml:space="preserve"> Se obtuvo el consentimiento informado por escrito de todos los participantes, con la especificación de que sus datos solo se utilizarían en el marco de la investigación. Todos los participantes para quienes se detectó una anomalía recibieron un seguimiento clínico por parte de los servicios de salud. El estudio fue conducido por el Instituto Nacional de Salud a solicitud del Ministerio de Salud de El Salvador (MINSAL) y el protocolo de investigación fue aprobado por el Comité Nacional de Investigación Clínica de El Salvador del Consejo Superior de Salud Pública.</w:t>
      </w:r>
    </w:p>
    <w:p w14:paraId="04491438" w14:textId="77777777" w:rsidR="00772B81" w:rsidRPr="005E1068" w:rsidRDefault="00772B81" w:rsidP="00772B81">
      <w:pPr>
        <w:rPr>
          <w:rFonts w:ascii="Times New Roman" w:hAnsi="Times New Roman"/>
          <w:lang w:val="es-US"/>
        </w:rPr>
      </w:pPr>
    </w:p>
    <w:p w14:paraId="36DAD365" w14:textId="65758720" w:rsidR="00DA4C1B" w:rsidRPr="005E1068" w:rsidRDefault="00DA4C1B" w:rsidP="00DA4C1B">
      <w:pPr>
        <w:pStyle w:val="Ttulo1"/>
        <w:spacing w:line="360" w:lineRule="auto"/>
        <w:jc w:val="both"/>
        <w:rPr>
          <w:rFonts w:ascii="Times New Roman" w:hAnsi="Times New Roman"/>
          <w:b/>
          <w:color w:val="auto"/>
          <w:sz w:val="24"/>
          <w:szCs w:val="24"/>
          <w:lang w:val="es-US"/>
        </w:rPr>
      </w:pPr>
      <w:r w:rsidRPr="005E1068">
        <w:rPr>
          <w:rFonts w:ascii="Times New Roman" w:hAnsi="Times New Roman"/>
          <w:b/>
          <w:color w:val="auto"/>
          <w:sz w:val="24"/>
          <w:szCs w:val="24"/>
          <w:lang w:val="es-US"/>
        </w:rPr>
        <w:t>Resultados</w:t>
      </w:r>
    </w:p>
    <w:p w14:paraId="64451372" w14:textId="49AB3B75" w:rsidR="002E1023" w:rsidRPr="005E1068" w:rsidRDefault="002E1023" w:rsidP="00772B81">
      <w:pPr>
        <w:spacing w:after="0" w:line="360" w:lineRule="auto"/>
        <w:jc w:val="both"/>
        <w:rPr>
          <w:rFonts w:ascii="Times New Roman" w:hAnsi="Times New Roman"/>
          <w:sz w:val="24"/>
          <w:szCs w:val="24"/>
          <w:lang w:val="es-US"/>
        </w:rPr>
      </w:pPr>
    </w:p>
    <w:p w14:paraId="222DD8B8" w14:textId="5CA358AE" w:rsidR="002E1023" w:rsidRPr="005E1068" w:rsidRDefault="002E1023" w:rsidP="00DA4C1B">
      <w:pPr>
        <w:spacing w:line="276" w:lineRule="auto"/>
        <w:jc w:val="both"/>
        <w:rPr>
          <w:rFonts w:ascii="Times New Roman" w:hAnsi="Times New Roman"/>
          <w:sz w:val="24"/>
        </w:rPr>
      </w:pPr>
      <w:r w:rsidRPr="005E1068">
        <w:rPr>
          <w:rFonts w:ascii="Times New Roman" w:hAnsi="Times New Roman"/>
          <w:sz w:val="24"/>
        </w:rPr>
        <w:t>Como era de esperar, observamos una fuerte asociación de ERC co</w:t>
      </w:r>
      <w:r w:rsidR="00DA4C1B" w:rsidRPr="005E1068">
        <w:rPr>
          <w:rFonts w:ascii="Times New Roman" w:hAnsi="Times New Roman"/>
          <w:sz w:val="24"/>
        </w:rPr>
        <w:t>n hipertensión y diabetes: OR=3.60, IC95% (2.83-4.59) y OR=</w:t>
      </w:r>
      <w:r w:rsidRPr="005E1068">
        <w:rPr>
          <w:rFonts w:ascii="Times New Roman" w:hAnsi="Times New Roman"/>
          <w:sz w:val="24"/>
        </w:rPr>
        <w:t>3.75, CI95% (2.92-4.82), respectivamente.</w:t>
      </w:r>
    </w:p>
    <w:p w14:paraId="2FB78993" w14:textId="3BEF448C" w:rsidR="002E1023" w:rsidRPr="005E1068" w:rsidRDefault="002E1023" w:rsidP="002E1023">
      <w:pPr>
        <w:spacing w:after="0" w:line="276" w:lineRule="auto"/>
        <w:jc w:val="both"/>
        <w:rPr>
          <w:rFonts w:ascii="Times New Roman" w:hAnsi="Times New Roman"/>
          <w:sz w:val="24"/>
          <w:szCs w:val="24"/>
        </w:rPr>
      </w:pPr>
      <w:r w:rsidRPr="005E1068">
        <w:rPr>
          <w:rFonts w:ascii="Times New Roman" w:hAnsi="Times New Roman"/>
          <w:sz w:val="24"/>
          <w:szCs w:val="24"/>
        </w:rPr>
        <w:t xml:space="preserve">La Tabla 1 muestra la prevalencia, </w:t>
      </w:r>
      <w:r w:rsidRPr="005E1068">
        <w:rPr>
          <w:rFonts w:ascii="Times New Roman" w:hAnsi="Times New Roman"/>
          <w:sz w:val="24"/>
        </w:rPr>
        <w:t xml:space="preserve">los valores de OR </w:t>
      </w:r>
      <w:r w:rsidRPr="005E1068">
        <w:rPr>
          <w:rFonts w:ascii="Times New Roman" w:hAnsi="Times New Roman"/>
          <w:sz w:val="24"/>
          <w:szCs w:val="24"/>
        </w:rPr>
        <w:t>y sus intervalos de confianza para exposiciones pasadas a agroquímicos o a condiciones asociadas, en presencia o ausencia de ERC, tanto para la muestra completa como para aquellos sin diabetes o hipertensión.</w:t>
      </w:r>
    </w:p>
    <w:p w14:paraId="3428FEA7" w14:textId="77777777" w:rsidR="002E1023" w:rsidRPr="005E1068" w:rsidRDefault="002E1023" w:rsidP="00772B81">
      <w:pPr>
        <w:spacing w:after="0" w:line="360" w:lineRule="auto"/>
        <w:jc w:val="both"/>
        <w:rPr>
          <w:rFonts w:ascii="Times New Roman" w:hAnsi="Times New Roman"/>
          <w:sz w:val="24"/>
          <w:szCs w:val="24"/>
        </w:rPr>
      </w:pPr>
    </w:p>
    <w:p w14:paraId="6BD9FFCC" w14:textId="3E47ED53" w:rsidR="002E1023" w:rsidRPr="005E1068" w:rsidRDefault="002E1023" w:rsidP="002E1023">
      <w:pPr>
        <w:spacing w:line="276" w:lineRule="auto"/>
        <w:jc w:val="both"/>
        <w:rPr>
          <w:rFonts w:ascii="Times New Roman" w:hAnsi="Times New Roman"/>
          <w:sz w:val="24"/>
          <w:szCs w:val="24"/>
        </w:rPr>
      </w:pPr>
      <w:r w:rsidRPr="005E1068">
        <w:rPr>
          <w:rFonts w:ascii="Times New Roman" w:hAnsi="Times New Roman"/>
          <w:sz w:val="24"/>
          <w:szCs w:val="24"/>
        </w:rPr>
        <w:t xml:space="preserve">La Tabla 2 muestra la duración promedio de la exposición a condiciones y tipos de agroquímicos, así como las diferencias de medias entre casos y controles y sus intervalos de confianza para </w:t>
      </w:r>
      <w:r w:rsidR="00695F35" w:rsidRPr="005E1068">
        <w:rPr>
          <w:rFonts w:ascii="Times New Roman" w:hAnsi="Times New Roman"/>
          <w:sz w:val="24"/>
          <w:szCs w:val="24"/>
        </w:rPr>
        <w:t xml:space="preserve">sujetos con </w:t>
      </w:r>
      <w:r w:rsidRPr="005E1068">
        <w:rPr>
          <w:rFonts w:ascii="Times New Roman" w:hAnsi="Times New Roman"/>
          <w:sz w:val="24"/>
          <w:szCs w:val="24"/>
        </w:rPr>
        <w:t>y sin ERC, tanto para toda la muestra como para aquellos que no padecen diabetes ni hipertensión.</w:t>
      </w:r>
    </w:p>
    <w:p w14:paraId="4B687146" w14:textId="6604911C" w:rsidR="002E1023" w:rsidRPr="005E1068" w:rsidRDefault="002E1023" w:rsidP="002E1023">
      <w:pPr>
        <w:spacing w:line="276" w:lineRule="auto"/>
        <w:jc w:val="both"/>
        <w:rPr>
          <w:rFonts w:ascii="Times New Roman" w:hAnsi="Times New Roman"/>
          <w:sz w:val="24"/>
          <w:szCs w:val="24"/>
        </w:rPr>
      </w:pPr>
      <w:r w:rsidRPr="005E1068">
        <w:rPr>
          <w:rFonts w:ascii="Times New Roman" w:hAnsi="Times New Roman"/>
          <w:sz w:val="24"/>
          <w:szCs w:val="24"/>
        </w:rPr>
        <w:lastRenderedPageBreak/>
        <w:t xml:space="preserve">La Tabla 3 presenta los cambios en los OR en relación con la ERC y la </w:t>
      </w:r>
      <w:r w:rsidRPr="005E1068">
        <w:rPr>
          <w:rFonts w:ascii="Times New Roman" w:hAnsi="Times New Roman"/>
          <w:sz w:val="24"/>
          <w:szCs w:val="24"/>
          <w:lang w:val="es-ES_tradnl"/>
        </w:rPr>
        <w:t>ERCnT,</w:t>
      </w:r>
      <w:r w:rsidRPr="005E1068">
        <w:rPr>
          <w:rFonts w:ascii="Times New Roman" w:hAnsi="Times New Roman"/>
          <w:sz w:val="24"/>
          <w:szCs w:val="24"/>
        </w:rPr>
        <w:t xml:space="preserve"> respectivamente, cuando los participantes habían estado expuestos a agroquímicos y a las condiciones asociadas a ellos durante al menos 10 años en comparación con al menos 5 años.</w:t>
      </w:r>
    </w:p>
    <w:p w14:paraId="7CF75C86" w14:textId="44C0AC84" w:rsidR="007332C8" w:rsidRPr="005E1068" w:rsidRDefault="007332C8" w:rsidP="00772B81">
      <w:pPr>
        <w:spacing w:after="0" w:line="360" w:lineRule="auto"/>
        <w:jc w:val="both"/>
        <w:rPr>
          <w:rFonts w:ascii="Times New Roman" w:hAnsi="Times New Roman"/>
          <w:sz w:val="24"/>
          <w:szCs w:val="24"/>
        </w:rPr>
      </w:pPr>
    </w:p>
    <w:p w14:paraId="1CE2916B" w14:textId="6B4A68C9" w:rsidR="00BC4EDC" w:rsidRPr="005E1068" w:rsidRDefault="00695F35" w:rsidP="00BC4EDC">
      <w:pPr>
        <w:spacing w:after="0" w:line="276" w:lineRule="auto"/>
        <w:jc w:val="both"/>
        <w:rPr>
          <w:rFonts w:ascii="Times New Roman" w:hAnsi="Times New Roman"/>
          <w:sz w:val="24"/>
          <w:szCs w:val="24"/>
        </w:rPr>
      </w:pPr>
      <w:r w:rsidRPr="005E1068">
        <w:rPr>
          <w:rFonts w:ascii="Times New Roman" w:hAnsi="Times New Roman"/>
          <w:sz w:val="24"/>
          <w:szCs w:val="24"/>
        </w:rPr>
        <w:t>Tras</w:t>
      </w:r>
      <w:r w:rsidR="00BC4EDC" w:rsidRPr="005E1068">
        <w:rPr>
          <w:rFonts w:ascii="Times New Roman" w:hAnsi="Times New Roman"/>
          <w:sz w:val="24"/>
          <w:szCs w:val="24"/>
        </w:rPr>
        <w:t xml:space="preserve"> realizar un ajuste mediante regresión logística, </w:t>
      </w:r>
      <w:r w:rsidR="00F36972" w:rsidRPr="005E1068">
        <w:rPr>
          <w:rFonts w:ascii="Times New Roman" w:hAnsi="Times New Roman"/>
          <w:sz w:val="24"/>
          <w:szCs w:val="24"/>
        </w:rPr>
        <w:t>los</w:t>
      </w:r>
      <w:r w:rsidR="00BC4EDC" w:rsidRPr="005E1068">
        <w:rPr>
          <w:rFonts w:ascii="Times New Roman" w:hAnsi="Times New Roman"/>
          <w:sz w:val="24"/>
          <w:szCs w:val="24"/>
        </w:rPr>
        <w:t xml:space="preserve"> OR correspondiente al contacto previo con agroquímicos, tanto a los efectos de desarrollar ERC como ERCnT disminuyeron ligeramente respecto de sus estimaciones crudas cuando se controlaron los posibles </w:t>
      </w:r>
      <w:proofErr w:type="spellStart"/>
      <w:r w:rsidR="00BC4EDC" w:rsidRPr="005E1068">
        <w:rPr>
          <w:rFonts w:ascii="Times New Roman" w:hAnsi="Times New Roman"/>
          <w:sz w:val="24"/>
          <w:szCs w:val="24"/>
        </w:rPr>
        <w:t>confusores</w:t>
      </w:r>
      <w:proofErr w:type="spellEnd"/>
      <w:r w:rsidR="00BC4EDC" w:rsidRPr="005E1068">
        <w:rPr>
          <w:rFonts w:ascii="Times New Roman" w:hAnsi="Times New Roman"/>
          <w:sz w:val="24"/>
          <w:szCs w:val="24"/>
        </w:rPr>
        <w:t xml:space="preserve"> (sexo, edad</w:t>
      </w:r>
      <w:r w:rsidRPr="005E1068">
        <w:rPr>
          <w:rFonts w:ascii="Times New Roman" w:hAnsi="Times New Roman"/>
          <w:sz w:val="24"/>
          <w:szCs w:val="24"/>
        </w:rPr>
        <w:t>,</w:t>
      </w:r>
      <w:r w:rsidR="00BC4EDC" w:rsidRPr="005E1068">
        <w:rPr>
          <w:rFonts w:ascii="Times New Roman" w:hAnsi="Times New Roman"/>
          <w:sz w:val="24"/>
          <w:szCs w:val="24"/>
        </w:rPr>
        <w:t xml:space="preserve"> condición urbano-rural</w:t>
      </w:r>
      <w:r w:rsidR="00F36972" w:rsidRPr="005E1068">
        <w:rPr>
          <w:rFonts w:ascii="Times New Roman" w:hAnsi="Times New Roman"/>
          <w:sz w:val="24"/>
          <w:szCs w:val="24"/>
        </w:rPr>
        <w:t>idad</w:t>
      </w:r>
      <w:r w:rsidRPr="005E1068">
        <w:rPr>
          <w:rFonts w:ascii="Times New Roman" w:hAnsi="Times New Roman"/>
          <w:sz w:val="24"/>
          <w:szCs w:val="24"/>
        </w:rPr>
        <w:t xml:space="preserve"> y </w:t>
      </w:r>
      <w:r w:rsidR="00BC4EDC" w:rsidRPr="005E1068">
        <w:rPr>
          <w:rFonts w:ascii="Times New Roman" w:hAnsi="Times New Roman"/>
          <w:sz w:val="24"/>
          <w:szCs w:val="24"/>
        </w:rPr>
        <w:t xml:space="preserve"> consumo de agua, más hipertensión y diabetes en el caso de ERC); pero se mantuvieron dentro del patrón general consistente en arrojar valores superiores a la unidad:  OR=1,26 I</w:t>
      </w:r>
      <w:r w:rsidR="00F36972" w:rsidRPr="005E1068">
        <w:rPr>
          <w:rFonts w:ascii="Times New Roman" w:hAnsi="Times New Roman"/>
          <w:sz w:val="24"/>
          <w:szCs w:val="24"/>
        </w:rPr>
        <w:t xml:space="preserve">C </w:t>
      </w:r>
      <w:r w:rsidR="00BC4EDC" w:rsidRPr="005E1068">
        <w:rPr>
          <w:rFonts w:ascii="Times New Roman" w:hAnsi="Times New Roman"/>
          <w:sz w:val="24"/>
          <w:szCs w:val="24"/>
        </w:rPr>
        <w:t>deC95% (1,01-1,64) para ERC y OR=1,22 I</w:t>
      </w:r>
      <w:r w:rsidR="00F36972" w:rsidRPr="005E1068">
        <w:rPr>
          <w:rFonts w:ascii="Times New Roman" w:hAnsi="Times New Roman"/>
          <w:sz w:val="24"/>
          <w:szCs w:val="24"/>
        </w:rPr>
        <w:t xml:space="preserve">C </w:t>
      </w:r>
      <w:r w:rsidR="00BC4EDC" w:rsidRPr="005E1068">
        <w:rPr>
          <w:rFonts w:ascii="Times New Roman" w:hAnsi="Times New Roman"/>
          <w:sz w:val="24"/>
          <w:szCs w:val="24"/>
        </w:rPr>
        <w:t>deC95% (0,79-1,87) para ERCnT.</w:t>
      </w:r>
    </w:p>
    <w:p w14:paraId="4FB40B9D" w14:textId="77777777" w:rsidR="00BC4EDC" w:rsidRPr="005E1068" w:rsidRDefault="00BC4EDC" w:rsidP="00772B81">
      <w:pPr>
        <w:spacing w:after="0" w:line="360" w:lineRule="auto"/>
        <w:jc w:val="both"/>
        <w:rPr>
          <w:rFonts w:ascii="Times New Roman" w:hAnsi="Times New Roman"/>
          <w:sz w:val="24"/>
          <w:szCs w:val="24"/>
        </w:rPr>
        <w:sectPr w:rsidR="00BC4EDC" w:rsidRPr="005E1068" w:rsidSect="00772B81">
          <w:footerReference w:type="default" r:id="rId16"/>
          <w:footnotePr>
            <w:numFmt w:val="lowerRoman"/>
          </w:footnotePr>
          <w:endnotePr>
            <w:numFmt w:val="decimal"/>
          </w:endnotePr>
          <w:pgSz w:w="11906" w:h="16838"/>
          <w:pgMar w:top="1417" w:right="1701" w:bottom="1417" w:left="1701" w:header="708" w:footer="708" w:gutter="0"/>
          <w:cols w:space="708"/>
          <w:docGrid w:linePitch="360"/>
        </w:sectPr>
      </w:pPr>
    </w:p>
    <w:p w14:paraId="6008E8F6" w14:textId="29E461D9" w:rsidR="002F0703" w:rsidRPr="005E1068" w:rsidRDefault="00ED5F9D" w:rsidP="00772B81">
      <w:pPr>
        <w:spacing w:after="0" w:line="360" w:lineRule="auto"/>
        <w:jc w:val="both"/>
        <w:rPr>
          <w:rFonts w:ascii="Times New Roman" w:hAnsi="Times New Roman"/>
          <w:sz w:val="24"/>
          <w:szCs w:val="24"/>
        </w:rPr>
      </w:pPr>
      <w:r w:rsidRPr="005E1068">
        <w:rPr>
          <w:rFonts w:ascii="Times New Roman" w:hAnsi="Times New Roman"/>
          <w:sz w:val="24"/>
          <w:szCs w:val="24"/>
        </w:rPr>
        <w:lastRenderedPageBreak/>
        <w:t xml:space="preserve">Tabla 1. </w:t>
      </w:r>
      <w:r w:rsidR="00C528D3" w:rsidRPr="005E1068">
        <w:rPr>
          <w:rFonts w:ascii="Times New Roman" w:hAnsi="Times New Roman"/>
          <w:sz w:val="24"/>
          <w:szCs w:val="24"/>
        </w:rPr>
        <w:t>Prevalencias de exposiciones en el pasado y OR para cada factor de riesgo con respecto a padecer ERC, en la población adulta de El Salvador y en quienes no padec</w:t>
      </w:r>
      <w:r w:rsidR="00695F35" w:rsidRPr="005E1068">
        <w:rPr>
          <w:rFonts w:ascii="Times New Roman" w:hAnsi="Times New Roman"/>
          <w:sz w:val="24"/>
          <w:szCs w:val="24"/>
        </w:rPr>
        <w:t>ía</w:t>
      </w:r>
      <w:r w:rsidR="00C528D3" w:rsidRPr="005E1068">
        <w:rPr>
          <w:rFonts w:ascii="Times New Roman" w:hAnsi="Times New Roman"/>
          <w:sz w:val="24"/>
          <w:szCs w:val="24"/>
        </w:rPr>
        <w:t xml:space="preserve">n </w:t>
      </w:r>
      <w:r w:rsidR="00695F35" w:rsidRPr="005E1068">
        <w:rPr>
          <w:rFonts w:ascii="Times New Roman" w:hAnsi="Times New Roman"/>
          <w:sz w:val="24"/>
          <w:szCs w:val="24"/>
        </w:rPr>
        <w:t xml:space="preserve">ni </w:t>
      </w:r>
      <w:r w:rsidR="00C528D3" w:rsidRPr="005E1068">
        <w:rPr>
          <w:rFonts w:ascii="Times New Roman" w:hAnsi="Times New Roman"/>
          <w:sz w:val="24"/>
          <w:szCs w:val="24"/>
        </w:rPr>
        <w:t>diabetes ni hipertensión arterial. ENECA-ELS 2015.</w:t>
      </w:r>
    </w:p>
    <w:tbl>
      <w:tblPr>
        <w:tblStyle w:val="Tablaconcuadrcula"/>
        <w:tblW w:w="12895" w:type="dxa"/>
        <w:jc w:val="center"/>
        <w:tblLayout w:type="fixed"/>
        <w:tblLook w:val="04A0" w:firstRow="1" w:lastRow="0" w:firstColumn="1" w:lastColumn="0" w:noHBand="0" w:noVBand="1"/>
      </w:tblPr>
      <w:tblGrid>
        <w:gridCol w:w="1975"/>
        <w:gridCol w:w="714"/>
        <w:gridCol w:w="992"/>
        <w:gridCol w:w="850"/>
        <w:gridCol w:w="1134"/>
        <w:gridCol w:w="1418"/>
        <w:gridCol w:w="850"/>
        <w:gridCol w:w="1276"/>
        <w:gridCol w:w="851"/>
        <w:gridCol w:w="1275"/>
        <w:gridCol w:w="1560"/>
      </w:tblGrid>
      <w:tr w:rsidR="002F0703" w:rsidRPr="005E1068" w14:paraId="52312822" w14:textId="77777777" w:rsidTr="00C528D3">
        <w:trPr>
          <w:jc w:val="center"/>
        </w:trPr>
        <w:tc>
          <w:tcPr>
            <w:tcW w:w="1975" w:type="dxa"/>
            <w:vMerge w:val="restart"/>
            <w:shd w:val="clear" w:color="auto" w:fill="auto"/>
            <w:vAlign w:val="center"/>
          </w:tcPr>
          <w:p w14:paraId="49A6139D" w14:textId="239B1286" w:rsidR="002F0703" w:rsidRPr="005E1068" w:rsidRDefault="004410D8" w:rsidP="00C528D3">
            <w:pPr>
              <w:spacing w:line="360" w:lineRule="auto"/>
              <w:jc w:val="center"/>
              <w:rPr>
                <w:rFonts w:ascii="Times New Roman" w:hAnsi="Times New Roman"/>
                <w:bCs/>
                <w:sz w:val="20"/>
                <w:szCs w:val="20"/>
                <w:lang w:val="en-US"/>
              </w:rPr>
            </w:pPr>
            <w:r w:rsidRPr="005E1068">
              <w:rPr>
                <w:rFonts w:ascii="Times New Roman" w:hAnsi="Times New Roman"/>
                <w:bCs/>
                <w:sz w:val="20"/>
                <w:szCs w:val="20"/>
                <w:lang w:val="en-US"/>
              </w:rPr>
              <w:t xml:space="preserve">Variables </w:t>
            </w:r>
            <w:proofErr w:type="spellStart"/>
            <w:r w:rsidRPr="005E1068">
              <w:rPr>
                <w:rFonts w:ascii="Times New Roman" w:hAnsi="Times New Roman"/>
                <w:bCs/>
                <w:sz w:val="20"/>
                <w:szCs w:val="20"/>
                <w:lang w:val="en-US"/>
              </w:rPr>
              <w:t>dicotómicas</w:t>
            </w:r>
            <w:proofErr w:type="spellEnd"/>
          </w:p>
        </w:tc>
        <w:tc>
          <w:tcPr>
            <w:tcW w:w="5108" w:type="dxa"/>
            <w:gridSpan w:val="5"/>
            <w:shd w:val="clear" w:color="auto" w:fill="E5B8B7" w:themeFill="accent2" w:themeFillTint="66"/>
            <w:vAlign w:val="center"/>
          </w:tcPr>
          <w:p w14:paraId="034B4149" w14:textId="516F48C9" w:rsidR="002F0703" w:rsidRPr="005E1068" w:rsidRDefault="004410D8" w:rsidP="00C528D3">
            <w:pPr>
              <w:spacing w:line="360" w:lineRule="auto"/>
              <w:jc w:val="center"/>
              <w:rPr>
                <w:rFonts w:ascii="Times New Roman" w:hAnsi="Times New Roman"/>
                <w:sz w:val="20"/>
                <w:szCs w:val="20"/>
                <w:lang w:val="en-US"/>
              </w:rPr>
            </w:pPr>
            <w:proofErr w:type="spellStart"/>
            <w:r w:rsidRPr="005E1068">
              <w:rPr>
                <w:rFonts w:ascii="Times New Roman" w:hAnsi="Times New Roman"/>
                <w:sz w:val="20"/>
                <w:szCs w:val="20"/>
                <w:lang w:val="en-US"/>
              </w:rPr>
              <w:t>Población</w:t>
            </w:r>
            <w:proofErr w:type="spellEnd"/>
            <w:r w:rsidRPr="005E1068">
              <w:rPr>
                <w:rFonts w:ascii="Times New Roman" w:hAnsi="Times New Roman"/>
                <w:sz w:val="20"/>
                <w:szCs w:val="20"/>
                <w:lang w:val="en-US"/>
              </w:rPr>
              <w:t xml:space="preserve"> total</w:t>
            </w:r>
          </w:p>
        </w:tc>
        <w:tc>
          <w:tcPr>
            <w:tcW w:w="5812" w:type="dxa"/>
            <w:gridSpan w:val="5"/>
            <w:shd w:val="clear" w:color="auto" w:fill="E5B8B7" w:themeFill="accent2" w:themeFillTint="66"/>
            <w:vAlign w:val="center"/>
          </w:tcPr>
          <w:p w14:paraId="17EBF560" w14:textId="7C237D26" w:rsidR="002F0703" w:rsidRPr="005E1068" w:rsidRDefault="004410D8" w:rsidP="00C528D3">
            <w:pPr>
              <w:spacing w:after="0" w:line="240" w:lineRule="auto"/>
              <w:jc w:val="center"/>
              <w:rPr>
                <w:rFonts w:ascii="Times New Roman" w:hAnsi="Times New Roman"/>
                <w:sz w:val="20"/>
                <w:szCs w:val="20"/>
              </w:rPr>
            </w:pPr>
            <w:r w:rsidRPr="005E1068">
              <w:rPr>
                <w:rFonts w:ascii="Times New Roman" w:hAnsi="Times New Roman"/>
                <w:sz w:val="20"/>
                <w:szCs w:val="20"/>
              </w:rPr>
              <w:t>Personas que no padecían diabetes ni hipertensión arterial</w:t>
            </w:r>
          </w:p>
        </w:tc>
      </w:tr>
      <w:tr w:rsidR="004410D8" w:rsidRPr="005E1068" w14:paraId="603176BD" w14:textId="77777777" w:rsidTr="00C528D3">
        <w:trPr>
          <w:jc w:val="center"/>
        </w:trPr>
        <w:tc>
          <w:tcPr>
            <w:tcW w:w="1975" w:type="dxa"/>
            <w:vMerge/>
            <w:shd w:val="clear" w:color="auto" w:fill="auto"/>
            <w:vAlign w:val="center"/>
          </w:tcPr>
          <w:p w14:paraId="42DD8C66" w14:textId="77777777" w:rsidR="004410D8" w:rsidRPr="005E1068" w:rsidRDefault="004410D8" w:rsidP="00C528D3">
            <w:pPr>
              <w:spacing w:line="360" w:lineRule="auto"/>
              <w:jc w:val="center"/>
              <w:rPr>
                <w:rFonts w:ascii="Times New Roman" w:hAnsi="Times New Roman"/>
                <w:sz w:val="20"/>
                <w:szCs w:val="20"/>
              </w:rPr>
            </w:pPr>
          </w:p>
        </w:tc>
        <w:tc>
          <w:tcPr>
            <w:tcW w:w="1706" w:type="dxa"/>
            <w:gridSpan w:val="2"/>
            <w:shd w:val="clear" w:color="auto" w:fill="auto"/>
            <w:vAlign w:val="center"/>
          </w:tcPr>
          <w:p w14:paraId="485FFC0C" w14:textId="0B2F6557" w:rsidR="004410D8" w:rsidRPr="005E1068" w:rsidRDefault="004410D8"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ERC</w:t>
            </w:r>
          </w:p>
        </w:tc>
        <w:tc>
          <w:tcPr>
            <w:tcW w:w="1984" w:type="dxa"/>
            <w:gridSpan w:val="2"/>
            <w:shd w:val="clear" w:color="auto" w:fill="auto"/>
            <w:vAlign w:val="center"/>
          </w:tcPr>
          <w:p w14:paraId="25552DC8" w14:textId="5ED5CA83" w:rsidR="004410D8" w:rsidRPr="005E1068" w:rsidRDefault="004410D8"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No ERC</w:t>
            </w:r>
          </w:p>
        </w:tc>
        <w:tc>
          <w:tcPr>
            <w:tcW w:w="1418" w:type="dxa"/>
            <w:vMerge w:val="restart"/>
            <w:shd w:val="clear" w:color="auto" w:fill="auto"/>
            <w:vAlign w:val="center"/>
          </w:tcPr>
          <w:p w14:paraId="6FBD468C" w14:textId="77777777" w:rsidR="00C528D3" w:rsidRPr="005E1068" w:rsidRDefault="004410D8"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OR</w:t>
            </w:r>
          </w:p>
          <w:p w14:paraId="4FCA07D4" w14:textId="719F4429" w:rsidR="004410D8" w:rsidRPr="005E1068" w:rsidRDefault="00C528D3"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(IC 95%)</w:t>
            </w:r>
          </w:p>
        </w:tc>
        <w:tc>
          <w:tcPr>
            <w:tcW w:w="2126" w:type="dxa"/>
            <w:gridSpan w:val="2"/>
            <w:vAlign w:val="center"/>
          </w:tcPr>
          <w:p w14:paraId="149B365F" w14:textId="2CCFCEE9" w:rsidR="004410D8" w:rsidRPr="005E1068" w:rsidRDefault="004410D8"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ERC</w:t>
            </w:r>
          </w:p>
        </w:tc>
        <w:tc>
          <w:tcPr>
            <w:tcW w:w="2126" w:type="dxa"/>
            <w:gridSpan w:val="2"/>
            <w:vAlign w:val="center"/>
          </w:tcPr>
          <w:p w14:paraId="218192A3" w14:textId="59EDF0F9" w:rsidR="004410D8" w:rsidRPr="005E1068" w:rsidRDefault="004410D8"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No ERC</w:t>
            </w:r>
          </w:p>
        </w:tc>
        <w:tc>
          <w:tcPr>
            <w:tcW w:w="1560" w:type="dxa"/>
            <w:vMerge w:val="restart"/>
            <w:vAlign w:val="center"/>
          </w:tcPr>
          <w:p w14:paraId="1BD03749" w14:textId="0606D56E" w:rsidR="00C528D3" w:rsidRPr="005E1068" w:rsidRDefault="004410D8"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OR</w:t>
            </w:r>
          </w:p>
          <w:p w14:paraId="02E32C91" w14:textId="33B0AC56" w:rsidR="004410D8" w:rsidRPr="005E1068" w:rsidRDefault="00C528D3"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(IC 95%)</w:t>
            </w:r>
          </w:p>
        </w:tc>
      </w:tr>
      <w:tr w:rsidR="002F0703" w:rsidRPr="005E1068" w14:paraId="042F90EB" w14:textId="77777777" w:rsidTr="00C528D3">
        <w:trPr>
          <w:trHeight w:val="333"/>
          <w:jc w:val="center"/>
        </w:trPr>
        <w:tc>
          <w:tcPr>
            <w:tcW w:w="1975" w:type="dxa"/>
            <w:vMerge/>
            <w:shd w:val="clear" w:color="auto" w:fill="auto"/>
            <w:vAlign w:val="center"/>
          </w:tcPr>
          <w:p w14:paraId="64A5161D" w14:textId="77777777" w:rsidR="002F0703" w:rsidRPr="005E1068" w:rsidRDefault="002F0703" w:rsidP="00C528D3">
            <w:pPr>
              <w:spacing w:line="360" w:lineRule="auto"/>
              <w:jc w:val="center"/>
              <w:rPr>
                <w:rFonts w:ascii="Times New Roman" w:hAnsi="Times New Roman"/>
                <w:b/>
                <w:sz w:val="20"/>
                <w:szCs w:val="20"/>
                <w:lang w:val="en-US"/>
              </w:rPr>
            </w:pPr>
          </w:p>
        </w:tc>
        <w:tc>
          <w:tcPr>
            <w:tcW w:w="714" w:type="dxa"/>
            <w:tcBorders>
              <w:bottom w:val="single" w:sz="4" w:space="0" w:color="auto"/>
            </w:tcBorders>
            <w:shd w:val="clear" w:color="auto" w:fill="auto"/>
            <w:vAlign w:val="center"/>
          </w:tcPr>
          <w:p w14:paraId="2C4E4521" w14:textId="77777777" w:rsidR="002F0703" w:rsidRPr="005E1068" w:rsidRDefault="002F0703"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w:t>
            </w:r>
          </w:p>
        </w:tc>
        <w:tc>
          <w:tcPr>
            <w:tcW w:w="992" w:type="dxa"/>
            <w:tcBorders>
              <w:bottom w:val="single" w:sz="4" w:space="0" w:color="auto"/>
            </w:tcBorders>
            <w:shd w:val="clear" w:color="auto" w:fill="auto"/>
            <w:vAlign w:val="center"/>
          </w:tcPr>
          <w:p w14:paraId="51BEE0B9" w14:textId="0DA5C456"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w:t>
            </w:r>
            <w:r w:rsidR="00C528D3" w:rsidRPr="005E1068">
              <w:rPr>
                <w:rFonts w:ascii="Times New Roman" w:hAnsi="Times New Roman"/>
                <w:sz w:val="20"/>
                <w:szCs w:val="20"/>
                <w:lang w:val="en-US"/>
              </w:rPr>
              <w:t xml:space="preserve">IC </w:t>
            </w:r>
            <w:r w:rsidRPr="005E1068">
              <w:rPr>
                <w:rFonts w:ascii="Times New Roman" w:hAnsi="Times New Roman"/>
                <w:sz w:val="20"/>
                <w:szCs w:val="20"/>
                <w:lang w:val="en-US"/>
              </w:rPr>
              <w:t>95%)</w:t>
            </w:r>
          </w:p>
        </w:tc>
        <w:tc>
          <w:tcPr>
            <w:tcW w:w="850" w:type="dxa"/>
            <w:tcBorders>
              <w:bottom w:val="single" w:sz="4" w:space="0" w:color="auto"/>
            </w:tcBorders>
            <w:shd w:val="clear" w:color="auto" w:fill="auto"/>
            <w:vAlign w:val="center"/>
          </w:tcPr>
          <w:p w14:paraId="22BFFBF7"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w:t>
            </w:r>
          </w:p>
        </w:tc>
        <w:tc>
          <w:tcPr>
            <w:tcW w:w="1134" w:type="dxa"/>
            <w:tcBorders>
              <w:bottom w:val="single" w:sz="4" w:space="0" w:color="auto"/>
            </w:tcBorders>
            <w:shd w:val="clear" w:color="auto" w:fill="auto"/>
            <w:vAlign w:val="center"/>
          </w:tcPr>
          <w:p w14:paraId="3A31F5A4" w14:textId="36E6A1BB" w:rsidR="002F0703" w:rsidRPr="005E1068" w:rsidRDefault="00C528D3" w:rsidP="00C528D3">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(IC 95%)</w:t>
            </w:r>
          </w:p>
        </w:tc>
        <w:tc>
          <w:tcPr>
            <w:tcW w:w="1418" w:type="dxa"/>
            <w:vMerge/>
            <w:shd w:val="clear" w:color="auto" w:fill="auto"/>
            <w:vAlign w:val="center"/>
          </w:tcPr>
          <w:p w14:paraId="29A97649" w14:textId="77777777" w:rsidR="002F0703" w:rsidRPr="005E1068" w:rsidRDefault="002F0703" w:rsidP="00C528D3">
            <w:pPr>
              <w:spacing w:line="360" w:lineRule="auto"/>
              <w:jc w:val="center"/>
              <w:rPr>
                <w:rFonts w:ascii="Times New Roman" w:hAnsi="Times New Roman"/>
                <w:b/>
                <w:sz w:val="20"/>
                <w:szCs w:val="20"/>
                <w:lang w:val="en-US"/>
              </w:rPr>
            </w:pPr>
          </w:p>
        </w:tc>
        <w:tc>
          <w:tcPr>
            <w:tcW w:w="850" w:type="dxa"/>
            <w:vAlign w:val="center"/>
          </w:tcPr>
          <w:p w14:paraId="652BA2F6" w14:textId="77777777" w:rsidR="002F0703" w:rsidRPr="005E1068" w:rsidRDefault="002F0703" w:rsidP="00C528D3">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w:t>
            </w:r>
          </w:p>
        </w:tc>
        <w:tc>
          <w:tcPr>
            <w:tcW w:w="1276" w:type="dxa"/>
            <w:vAlign w:val="center"/>
          </w:tcPr>
          <w:p w14:paraId="5617AC67" w14:textId="4521D501" w:rsidR="002F0703" w:rsidRPr="005E1068" w:rsidRDefault="00C528D3" w:rsidP="00C528D3">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(IC 95%)</w:t>
            </w:r>
          </w:p>
        </w:tc>
        <w:tc>
          <w:tcPr>
            <w:tcW w:w="851" w:type="dxa"/>
            <w:vAlign w:val="center"/>
          </w:tcPr>
          <w:p w14:paraId="653DE0FA" w14:textId="77777777" w:rsidR="002F0703" w:rsidRPr="005E1068" w:rsidRDefault="002F0703" w:rsidP="00C528D3">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w:t>
            </w:r>
          </w:p>
        </w:tc>
        <w:tc>
          <w:tcPr>
            <w:tcW w:w="1275" w:type="dxa"/>
            <w:vAlign w:val="center"/>
          </w:tcPr>
          <w:p w14:paraId="11ECD6CD" w14:textId="6533CD75" w:rsidR="002F0703" w:rsidRPr="005E1068" w:rsidRDefault="00C528D3" w:rsidP="00C528D3">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(IC 95%)</w:t>
            </w:r>
          </w:p>
        </w:tc>
        <w:tc>
          <w:tcPr>
            <w:tcW w:w="1560" w:type="dxa"/>
            <w:vMerge/>
            <w:vAlign w:val="center"/>
          </w:tcPr>
          <w:p w14:paraId="45F9333D" w14:textId="77777777" w:rsidR="002F0703" w:rsidRPr="005E1068" w:rsidRDefault="002F0703" w:rsidP="00C528D3">
            <w:pPr>
              <w:spacing w:line="360" w:lineRule="auto"/>
              <w:jc w:val="center"/>
              <w:rPr>
                <w:rFonts w:ascii="Times New Roman" w:hAnsi="Times New Roman"/>
                <w:b/>
                <w:sz w:val="20"/>
                <w:szCs w:val="20"/>
                <w:lang w:val="en-US"/>
              </w:rPr>
            </w:pPr>
          </w:p>
        </w:tc>
      </w:tr>
      <w:tr w:rsidR="002F0703" w:rsidRPr="005E1068" w14:paraId="6D10BE7D" w14:textId="77777777" w:rsidTr="00C528D3">
        <w:trPr>
          <w:jc w:val="center"/>
        </w:trPr>
        <w:tc>
          <w:tcPr>
            <w:tcW w:w="12895" w:type="dxa"/>
            <w:gridSpan w:val="11"/>
            <w:shd w:val="clear" w:color="auto" w:fill="E5B8B7" w:themeFill="accent2" w:themeFillTint="66"/>
            <w:vAlign w:val="center"/>
          </w:tcPr>
          <w:p w14:paraId="2FD72E1C" w14:textId="602451B5" w:rsidR="002F0703" w:rsidRPr="005E1068" w:rsidRDefault="004410D8" w:rsidP="00C528D3">
            <w:pPr>
              <w:spacing w:line="360" w:lineRule="auto"/>
              <w:jc w:val="center"/>
              <w:rPr>
                <w:rFonts w:ascii="Times New Roman" w:hAnsi="Times New Roman"/>
                <w:sz w:val="20"/>
                <w:szCs w:val="20"/>
                <w:lang w:val="en-US"/>
              </w:rPr>
            </w:pPr>
            <w:proofErr w:type="spellStart"/>
            <w:r w:rsidRPr="005E1068">
              <w:rPr>
                <w:rFonts w:ascii="Times New Roman" w:hAnsi="Times New Roman"/>
                <w:sz w:val="20"/>
                <w:szCs w:val="20"/>
                <w:lang w:val="en-US"/>
              </w:rPr>
              <w:t>Exposición</w:t>
            </w:r>
            <w:proofErr w:type="spellEnd"/>
            <w:r w:rsidRPr="005E1068">
              <w:rPr>
                <w:rFonts w:ascii="Times New Roman" w:hAnsi="Times New Roman"/>
                <w:sz w:val="20"/>
                <w:szCs w:val="20"/>
                <w:lang w:val="en-US"/>
              </w:rPr>
              <w:t xml:space="preserve"> </w:t>
            </w:r>
            <w:proofErr w:type="spellStart"/>
            <w:r w:rsidRPr="005E1068">
              <w:rPr>
                <w:rFonts w:ascii="Times New Roman" w:hAnsi="Times New Roman"/>
                <w:sz w:val="20"/>
                <w:szCs w:val="20"/>
                <w:lang w:val="en-US"/>
              </w:rPr>
              <w:t>pasada</w:t>
            </w:r>
            <w:proofErr w:type="spellEnd"/>
            <w:r w:rsidRPr="005E1068">
              <w:rPr>
                <w:rFonts w:ascii="Times New Roman" w:hAnsi="Times New Roman"/>
                <w:sz w:val="20"/>
                <w:szCs w:val="20"/>
                <w:lang w:val="en-US"/>
              </w:rPr>
              <w:t xml:space="preserve"> a </w:t>
            </w:r>
            <w:proofErr w:type="spellStart"/>
            <w:r w:rsidRPr="005E1068">
              <w:rPr>
                <w:rFonts w:ascii="Times New Roman" w:hAnsi="Times New Roman"/>
                <w:sz w:val="20"/>
                <w:szCs w:val="20"/>
                <w:lang w:val="en-US"/>
              </w:rPr>
              <w:t>agroquímicos</w:t>
            </w:r>
            <w:proofErr w:type="spellEnd"/>
          </w:p>
        </w:tc>
      </w:tr>
      <w:tr w:rsidR="002F0703" w:rsidRPr="005E1068" w14:paraId="5F100182" w14:textId="77777777" w:rsidTr="00C528D3">
        <w:trPr>
          <w:jc w:val="center"/>
        </w:trPr>
        <w:tc>
          <w:tcPr>
            <w:tcW w:w="1975" w:type="dxa"/>
            <w:shd w:val="clear" w:color="auto" w:fill="auto"/>
            <w:vAlign w:val="center"/>
          </w:tcPr>
          <w:p w14:paraId="3668A4D7" w14:textId="4526465F" w:rsidR="002F0703" w:rsidRPr="005E1068" w:rsidRDefault="004410D8" w:rsidP="00C528D3">
            <w:pPr>
              <w:jc w:val="center"/>
              <w:rPr>
                <w:rFonts w:ascii="Times New Roman" w:hAnsi="Times New Roman"/>
                <w:bCs/>
                <w:sz w:val="20"/>
                <w:szCs w:val="20"/>
              </w:rPr>
            </w:pPr>
            <w:r w:rsidRPr="005E1068">
              <w:rPr>
                <w:rFonts w:ascii="Times New Roman" w:hAnsi="Times New Roman"/>
                <w:bCs/>
                <w:sz w:val="20"/>
                <w:szCs w:val="20"/>
              </w:rPr>
              <w:t>Manipulación de algún tipo de agroquímicos</w:t>
            </w:r>
          </w:p>
        </w:tc>
        <w:tc>
          <w:tcPr>
            <w:tcW w:w="714" w:type="dxa"/>
            <w:tcBorders>
              <w:bottom w:val="single" w:sz="4" w:space="0" w:color="auto"/>
            </w:tcBorders>
            <w:shd w:val="clear" w:color="auto" w:fill="auto"/>
            <w:vAlign w:val="center"/>
          </w:tcPr>
          <w:p w14:paraId="6788A771" w14:textId="77777777" w:rsidR="002F0703" w:rsidRPr="005E1068" w:rsidRDefault="002F0703" w:rsidP="00C528D3">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26.8</w:t>
            </w:r>
          </w:p>
        </w:tc>
        <w:tc>
          <w:tcPr>
            <w:tcW w:w="992" w:type="dxa"/>
            <w:tcBorders>
              <w:bottom w:val="single" w:sz="4" w:space="0" w:color="auto"/>
            </w:tcBorders>
            <w:shd w:val="clear" w:color="auto" w:fill="auto"/>
            <w:vAlign w:val="center"/>
          </w:tcPr>
          <w:p w14:paraId="008C8401"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21.6-32.1</w:t>
            </w:r>
          </w:p>
        </w:tc>
        <w:tc>
          <w:tcPr>
            <w:tcW w:w="850" w:type="dxa"/>
            <w:tcBorders>
              <w:bottom w:val="single" w:sz="4" w:space="0" w:color="auto"/>
            </w:tcBorders>
            <w:shd w:val="clear" w:color="auto" w:fill="auto"/>
            <w:vAlign w:val="center"/>
          </w:tcPr>
          <w:p w14:paraId="29B0C7B2"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14.6</w:t>
            </w:r>
          </w:p>
        </w:tc>
        <w:tc>
          <w:tcPr>
            <w:tcW w:w="1134" w:type="dxa"/>
            <w:tcBorders>
              <w:bottom w:val="single" w:sz="4" w:space="0" w:color="auto"/>
            </w:tcBorders>
            <w:shd w:val="clear" w:color="auto" w:fill="auto"/>
            <w:vAlign w:val="center"/>
          </w:tcPr>
          <w:p w14:paraId="7DE9CD61"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12.8-16.4</w:t>
            </w:r>
          </w:p>
        </w:tc>
        <w:tc>
          <w:tcPr>
            <w:tcW w:w="1418" w:type="dxa"/>
            <w:shd w:val="clear" w:color="auto" w:fill="auto"/>
            <w:vAlign w:val="center"/>
          </w:tcPr>
          <w:p w14:paraId="77285179" w14:textId="77777777" w:rsidR="00C528D3" w:rsidRPr="005E1068" w:rsidRDefault="00C528D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2.14</w:t>
            </w:r>
          </w:p>
          <w:p w14:paraId="0D790627" w14:textId="3059914F"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(1.63-2.83)</w:t>
            </w:r>
          </w:p>
        </w:tc>
        <w:tc>
          <w:tcPr>
            <w:tcW w:w="850" w:type="dxa"/>
            <w:vAlign w:val="center"/>
          </w:tcPr>
          <w:p w14:paraId="76EDC46E"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26.8</w:t>
            </w:r>
          </w:p>
        </w:tc>
        <w:tc>
          <w:tcPr>
            <w:tcW w:w="1276" w:type="dxa"/>
            <w:vAlign w:val="center"/>
          </w:tcPr>
          <w:p w14:paraId="1A95ADFE"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17.4-36.2</w:t>
            </w:r>
          </w:p>
        </w:tc>
        <w:tc>
          <w:tcPr>
            <w:tcW w:w="851" w:type="dxa"/>
            <w:vAlign w:val="center"/>
          </w:tcPr>
          <w:p w14:paraId="7B40B0D4"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14.8</w:t>
            </w:r>
          </w:p>
        </w:tc>
        <w:tc>
          <w:tcPr>
            <w:tcW w:w="1275" w:type="dxa"/>
            <w:vAlign w:val="center"/>
          </w:tcPr>
          <w:p w14:paraId="7BCCA0C2"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12.8-16.7</w:t>
            </w:r>
          </w:p>
        </w:tc>
        <w:tc>
          <w:tcPr>
            <w:tcW w:w="1560" w:type="dxa"/>
            <w:vAlign w:val="center"/>
          </w:tcPr>
          <w:p w14:paraId="5FCA7A19" w14:textId="4F368C3D"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2.11</w:t>
            </w:r>
          </w:p>
          <w:p w14:paraId="74403A78" w14:textId="0311DFFC"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(1.29-3.46)</w:t>
            </w:r>
          </w:p>
        </w:tc>
      </w:tr>
      <w:tr w:rsidR="002F0703" w:rsidRPr="005E1068" w14:paraId="128B31D6" w14:textId="77777777" w:rsidTr="00C528D3">
        <w:trPr>
          <w:jc w:val="center"/>
        </w:trPr>
        <w:tc>
          <w:tcPr>
            <w:tcW w:w="1975" w:type="dxa"/>
            <w:shd w:val="clear" w:color="auto" w:fill="auto"/>
            <w:vAlign w:val="center"/>
          </w:tcPr>
          <w:p w14:paraId="0416B212" w14:textId="2A20BB89" w:rsidR="002F0703" w:rsidRPr="005E1068" w:rsidRDefault="004410D8" w:rsidP="00C528D3">
            <w:pPr>
              <w:jc w:val="center"/>
              <w:rPr>
                <w:rFonts w:ascii="Times New Roman" w:hAnsi="Times New Roman"/>
                <w:bCs/>
                <w:sz w:val="20"/>
                <w:szCs w:val="20"/>
              </w:rPr>
            </w:pPr>
            <w:r w:rsidRPr="005E1068">
              <w:rPr>
                <w:rFonts w:ascii="Times New Roman" w:hAnsi="Times New Roman"/>
                <w:bCs/>
                <w:sz w:val="20"/>
              </w:rPr>
              <w:t>Manipulación de agroquímicos con código rojo</w:t>
            </w:r>
          </w:p>
        </w:tc>
        <w:tc>
          <w:tcPr>
            <w:tcW w:w="714" w:type="dxa"/>
            <w:tcBorders>
              <w:bottom w:val="single" w:sz="4" w:space="0" w:color="auto"/>
            </w:tcBorders>
            <w:shd w:val="clear" w:color="auto" w:fill="auto"/>
            <w:vAlign w:val="center"/>
          </w:tcPr>
          <w:p w14:paraId="75BA07D8" w14:textId="77777777" w:rsidR="002F0703" w:rsidRPr="005E1068" w:rsidRDefault="002F0703" w:rsidP="00C528D3">
            <w:pPr>
              <w:spacing w:line="360" w:lineRule="auto"/>
              <w:rPr>
                <w:rFonts w:ascii="Times New Roman" w:hAnsi="Times New Roman"/>
                <w:b/>
                <w:sz w:val="20"/>
                <w:szCs w:val="20"/>
                <w:lang w:val="en-US"/>
              </w:rPr>
            </w:pPr>
            <w:r w:rsidRPr="005E1068">
              <w:rPr>
                <w:rFonts w:ascii="Times New Roman" w:hAnsi="Times New Roman"/>
                <w:sz w:val="20"/>
                <w:szCs w:val="20"/>
                <w:lang w:val="en-US"/>
              </w:rPr>
              <w:t>27.7</w:t>
            </w:r>
          </w:p>
        </w:tc>
        <w:tc>
          <w:tcPr>
            <w:tcW w:w="992" w:type="dxa"/>
            <w:tcBorders>
              <w:bottom w:val="single" w:sz="4" w:space="0" w:color="auto"/>
            </w:tcBorders>
            <w:shd w:val="clear" w:color="auto" w:fill="auto"/>
            <w:vAlign w:val="center"/>
          </w:tcPr>
          <w:p w14:paraId="7CCBE938"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22.2-33.3</w:t>
            </w:r>
          </w:p>
        </w:tc>
        <w:tc>
          <w:tcPr>
            <w:tcW w:w="850" w:type="dxa"/>
            <w:tcBorders>
              <w:bottom w:val="single" w:sz="4" w:space="0" w:color="auto"/>
            </w:tcBorders>
            <w:shd w:val="clear" w:color="auto" w:fill="auto"/>
            <w:vAlign w:val="center"/>
          </w:tcPr>
          <w:p w14:paraId="35BEFE02"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18.8</w:t>
            </w:r>
          </w:p>
        </w:tc>
        <w:tc>
          <w:tcPr>
            <w:tcW w:w="1134" w:type="dxa"/>
            <w:tcBorders>
              <w:bottom w:val="single" w:sz="4" w:space="0" w:color="auto"/>
            </w:tcBorders>
            <w:shd w:val="clear" w:color="auto" w:fill="auto"/>
            <w:vAlign w:val="center"/>
          </w:tcPr>
          <w:p w14:paraId="7B236585"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16.6-21.0</w:t>
            </w:r>
          </w:p>
        </w:tc>
        <w:tc>
          <w:tcPr>
            <w:tcW w:w="1418" w:type="dxa"/>
            <w:shd w:val="clear" w:color="auto" w:fill="auto"/>
            <w:vAlign w:val="center"/>
          </w:tcPr>
          <w:p w14:paraId="69C899A3"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1.66 </w:t>
            </w:r>
          </w:p>
          <w:p w14:paraId="17FA9482" w14:textId="6929204A"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(1.25-2.20)</w:t>
            </w:r>
          </w:p>
        </w:tc>
        <w:tc>
          <w:tcPr>
            <w:tcW w:w="850" w:type="dxa"/>
            <w:vAlign w:val="center"/>
          </w:tcPr>
          <w:p w14:paraId="031FF601"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27.3</w:t>
            </w:r>
          </w:p>
        </w:tc>
        <w:tc>
          <w:tcPr>
            <w:tcW w:w="1276" w:type="dxa"/>
            <w:vAlign w:val="center"/>
          </w:tcPr>
          <w:p w14:paraId="7C2D2F5E"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19.7-36.6</w:t>
            </w:r>
          </w:p>
        </w:tc>
        <w:tc>
          <w:tcPr>
            <w:tcW w:w="851" w:type="dxa"/>
            <w:vAlign w:val="center"/>
          </w:tcPr>
          <w:p w14:paraId="6C7F3364"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19.9</w:t>
            </w:r>
          </w:p>
        </w:tc>
        <w:tc>
          <w:tcPr>
            <w:tcW w:w="1275" w:type="dxa"/>
            <w:vAlign w:val="center"/>
          </w:tcPr>
          <w:p w14:paraId="66E3790A"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17.3-22.8</w:t>
            </w:r>
          </w:p>
        </w:tc>
        <w:tc>
          <w:tcPr>
            <w:tcW w:w="1560" w:type="dxa"/>
            <w:vAlign w:val="center"/>
          </w:tcPr>
          <w:p w14:paraId="1B54D8EE"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1.52 </w:t>
            </w:r>
          </w:p>
          <w:p w14:paraId="3FA75C42" w14:textId="68DA5752"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(0.98-2.33)</w:t>
            </w:r>
          </w:p>
        </w:tc>
      </w:tr>
      <w:tr w:rsidR="002F0703" w:rsidRPr="005E1068" w14:paraId="7079E3EC" w14:textId="77777777" w:rsidTr="00C528D3">
        <w:trPr>
          <w:jc w:val="center"/>
        </w:trPr>
        <w:tc>
          <w:tcPr>
            <w:tcW w:w="1975" w:type="dxa"/>
            <w:shd w:val="clear" w:color="auto" w:fill="auto"/>
            <w:vAlign w:val="center"/>
          </w:tcPr>
          <w:p w14:paraId="01039AC4" w14:textId="7AAEF199" w:rsidR="002F0703" w:rsidRPr="005E1068" w:rsidRDefault="004410D8" w:rsidP="00C528D3">
            <w:pPr>
              <w:jc w:val="center"/>
              <w:rPr>
                <w:rFonts w:ascii="Times New Roman" w:hAnsi="Times New Roman"/>
                <w:bCs/>
                <w:sz w:val="20"/>
                <w:szCs w:val="20"/>
              </w:rPr>
            </w:pPr>
            <w:r w:rsidRPr="005E1068">
              <w:rPr>
                <w:rFonts w:ascii="Times New Roman" w:hAnsi="Times New Roman"/>
                <w:bCs/>
                <w:sz w:val="20"/>
              </w:rPr>
              <w:t>Manipulación de agroquímicos con código amarillo</w:t>
            </w:r>
          </w:p>
        </w:tc>
        <w:tc>
          <w:tcPr>
            <w:tcW w:w="714" w:type="dxa"/>
            <w:tcBorders>
              <w:bottom w:val="single" w:sz="4" w:space="0" w:color="auto"/>
            </w:tcBorders>
            <w:shd w:val="clear" w:color="auto" w:fill="auto"/>
            <w:vAlign w:val="center"/>
          </w:tcPr>
          <w:p w14:paraId="0254F147" w14:textId="77777777" w:rsidR="002F0703" w:rsidRPr="005E1068" w:rsidRDefault="002F0703" w:rsidP="00C528D3">
            <w:pPr>
              <w:spacing w:line="360" w:lineRule="auto"/>
              <w:rPr>
                <w:rFonts w:ascii="Times New Roman" w:hAnsi="Times New Roman"/>
                <w:b/>
                <w:sz w:val="20"/>
                <w:szCs w:val="20"/>
                <w:lang w:val="en-US"/>
              </w:rPr>
            </w:pPr>
            <w:r w:rsidRPr="005E1068">
              <w:rPr>
                <w:rFonts w:ascii="Times New Roman" w:hAnsi="Times New Roman"/>
                <w:sz w:val="20"/>
                <w:szCs w:val="20"/>
                <w:lang w:val="en-US"/>
              </w:rPr>
              <w:t>45.3</w:t>
            </w:r>
          </w:p>
        </w:tc>
        <w:tc>
          <w:tcPr>
            <w:tcW w:w="992" w:type="dxa"/>
            <w:tcBorders>
              <w:bottom w:val="single" w:sz="4" w:space="0" w:color="auto"/>
            </w:tcBorders>
            <w:shd w:val="clear" w:color="auto" w:fill="auto"/>
            <w:vAlign w:val="center"/>
          </w:tcPr>
          <w:p w14:paraId="0FB8DA62"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38.9-51.7</w:t>
            </w:r>
          </w:p>
        </w:tc>
        <w:tc>
          <w:tcPr>
            <w:tcW w:w="850" w:type="dxa"/>
            <w:tcBorders>
              <w:bottom w:val="single" w:sz="4" w:space="0" w:color="auto"/>
            </w:tcBorders>
            <w:shd w:val="clear" w:color="auto" w:fill="auto"/>
            <w:vAlign w:val="center"/>
          </w:tcPr>
          <w:p w14:paraId="419E994F"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31.6</w:t>
            </w:r>
          </w:p>
        </w:tc>
        <w:tc>
          <w:tcPr>
            <w:tcW w:w="1134" w:type="dxa"/>
            <w:tcBorders>
              <w:bottom w:val="single" w:sz="4" w:space="0" w:color="auto"/>
            </w:tcBorders>
            <w:shd w:val="clear" w:color="auto" w:fill="auto"/>
            <w:vAlign w:val="center"/>
          </w:tcPr>
          <w:p w14:paraId="7C6C43A0"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28.5-34.7</w:t>
            </w:r>
          </w:p>
        </w:tc>
        <w:tc>
          <w:tcPr>
            <w:tcW w:w="1418" w:type="dxa"/>
            <w:shd w:val="clear" w:color="auto" w:fill="auto"/>
            <w:vAlign w:val="center"/>
          </w:tcPr>
          <w:p w14:paraId="4E5ACF9F"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1.79 </w:t>
            </w:r>
          </w:p>
          <w:p w14:paraId="606B4410" w14:textId="244A3833"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(1.39-2.31)</w:t>
            </w:r>
          </w:p>
        </w:tc>
        <w:tc>
          <w:tcPr>
            <w:tcW w:w="850" w:type="dxa"/>
            <w:vAlign w:val="center"/>
          </w:tcPr>
          <w:p w14:paraId="0E1F0C3B"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49.8</w:t>
            </w:r>
          </w:p>
        </w:tc>
        <w:tc>
          <w:tcPr>
            <w:tcW w:w="1276" w:type="dxa"/>
            <w:vAlign w:val="center"/>
          </w:tcPr>
          <w:p w14:paraId="5824F4EB"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40.0-59.6</w:t>
            </w:r>
          </w:p>
        </w:tc>
        <w:tc>
          <w:tcPr>
            <w:tcW w:w="851" w:type="dxa"/>
            <w:vAlign w:val="center"/>
          </w:tcPr>
          <w:p w14:paraId="1CD4D223"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34.3</w:t>
            </w:r>
          </w:p>
        </w:tc>
        <w:tc>
          <w:tcPr>
            <w:tcW w:w="1275" w:type="dxa"/>
            <w:vAlign w:val="center"/>
          </w:tcPr>
          <w:p w14:paraId="2B8E385F"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30.8-37.9</w:t>
            </w:r>
          </w:p>
        </w:tc>
        <w:tc>
          <w:tcPr>
            <w:tcW w:w="1560" w:type="dxa"/>
            <w:vAlign w:val="center"/>
          </w:tcPr>
          <w:p w14:paraId="722BCC85"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1.90 </w:t>
            </w:r>
          </w:p>
          <w:p w14:paraId="0A155C12" w14:textId="714B55E9"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(1.29-2.81)</w:t>
            </w:r>
          </w:p>
        </w:tc>
      </w:tr>
      <w:tr w:rsidR="002F0703" w:rsidRPr="005E1068" w14:paraId="493E06F7" w14:textId="77777777" w:rsidTr="00C528D3">
        <w:trPr>
          <w:jc w:val="center"/>
        </w:trPr>
        <w:tc>
          <w:tcPr>
            <w:tcW w:w="1975" w:type="dxa"/>
            <w:shd w:val="clear" w:color="auto" w:fill="auto"/>
            <w:vAlign w:val="center"/>
          </w:tcPr>
          <w:p w14:paraId="0F29B638" w14:textId="24777AF0" w:rsidR="002F0703" w:rsidRPr="005E1068" w:rsidRDefault="00B919B8" w:rsidP="00C528D3">
            <w:pPr>
              <w:jc w:val="center"/>
              <w:rPr>
                <w:rFonts w:ascii="Times New Roman" w:hAnsi="Times New Roman"/>
                <w:bCs/>
                <w:sz w:val="20"/>
                <w:szCs w:val="20"/>
              </w:rPr>
            </w:pPr>
            <w:r w:rsidRPr="005E1068">
              <w:rPr>
                <w:rFonts w:ascii="Times New Roman" w:hAnsi="Times New Roman"/>
                <w:bCs/>
                <w:sz w:val="20"/>
              </w:rPr>
              <w:t>Manipulación de agroquímicos con código azul</w:t>
            </w:r>
          </w:p>
        </w:tc>
        <w:tc>
          <w:tcPr>
            <w:tcW w:w="714" w:type="dxa"/>
            <w:tcBorders>
              <w:bottom w:val="single" w:sz="4" w:space="0" w:color="auto"/>
            </w:tcBorders>
            <w:shd w:val="clear" w:color="auto" w:fill="auto"/>
            <w:vAlign w:val="center"/>
          </w:tcPr>
          <w:p w14:paraId="4E4041F5" w14:textId="77777777" w:rsidR="002F0703" w:rsidRPr="005E1068" w:rsidRDefault="002F0703" w:rsidP="00C528D3">
            <w:pPr>
              <w:spacing w:line="360" w:lineRule="auto"/>
              <w:rPr>
                <w:rFonts w:ascii="Times New Roman" w:hAnsi="Times New Roman"/>
                <w:b/>
                <w:sz w:val="20"/>
                <w:szCs w:val="20"/>
                <w:lang w:val="en-US"/>
              </w:rPr>
            </w:pPr>
            <w:r w:rsidRPr="005E1068">
              <w:rPr>
                <w:rFonts w:ascii="Times New Roman" w:hAnsi="Times New Roman"/>
                <w:sz w:val="20"/>
                <w:szCs w:val="20"/>
                <w:lang w:val="en-US"/>
              </w:rPr>
              <w:t>20.0</w:t>
            </w:r>
          </w:p>
        </w:tc>
        <w:tc>
          <w:tcPr>
            <w:tcW w:w="992" w:type="dxa"/>
            <w:tcBorders>
              <w:bottom w:val="single" w:sz="4" w:space="0" w:color="auto"/>
            </w:tcBorders>
            <w:shd w:val="clear" w:color="auto" w:fill="auto"/>
            <w:vAlign w:val="center"/>
          </w:tcPr>
          <w:p w14:paraId="122F3603"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14.9-25.2</w:t>
            </w:r>
          </w:p>
        </w:tc>
        <w:tc>
          <w:tcPr>
            <w:tcW w:w="850" w:type="dxa"/>
            <w:tcBorders>
              <w:bottom w:val="single" w:sz="4" w:space="0" w:color="auto"/>
            </w:tcBorders>
            <w:shd w:val="clear" w:color="auto" w:fill="auto"/>
            <w:vAlign w:val="center"/>
          </w:tcPr>
          <w:p w14:paraId="3837DB0B"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13.3</w:t>
            </w:r>
          </w:p>
        </w:tc>
        <w:tc>
          <w:tcPr>
            <w:tcW w:w="1134" w:type="dxa"/>
            <w:tcBorders>
              <w:bottom w:val="single" w:sz="4" w:space="0" w:color="auto"/>
            </w:tcBorders>
            <w:shd w:val="clear" w:color="auto" w:fill="auto"/>
            <w:vAlign w:val="center"/>
          </w:tcPr>
          <w:p w14:paraId="51DB198D"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11.0-15.6</w:t>
            </w:r>
          </w:p>
        </w:tc>
        <w:tc>
          <w:tcPr>
            <w:tcW w:w="1418" w:type="dxa"/>
            <w:shd w:val="clear" w:color="auto" w:fill="auto"/>
            <w:vAlign w:val="center"/>
          </w:tcPr>
          <w:p w14:paraId="7B77FDF9"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1.63 </w:t>
            </w:r>
          </w:p>
          <w:p w14:paraId="5D7006EB" w14:textId="1FC59F2B"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(1.19-2.24)</w:t>
            </w:r>
          </w:p>
        </w:tc>
        <w:tc>
          <w:tcPr>
            <w:tcW w:w="850" w:type="dxa"/>
            <w:vAlign w:val="center"/>
          </w:tcPr>
          <w:p w14:paraId="2DC65743"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23.4</w:t>
            </w:r>
          </w:p>
        </w:tc>
        <w:tc>
          <w:tcPr>
            <w:tcW w:w="1276" w:type="dxa"/>
            <w:vAlign w:val="center"/>
          </w:tcPr>
          <w:p w14:paraId="2D0E82C7"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16.5-32.0</w:t>
            </w:r>
          </w:p>
        </w:tc>
        <w:tc>
          <w:tcPr>
            <w:tcW w:w="851" w:type="dxa"/>
            <w:vAlign w:val="center"/>
          </w:tcPr>
          <w:p w14:paraId="20BBD32D"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14.8</w:t>
            </w:r>
          </w:p>
        </w:tc>
        <w:tc>
          <w:tcPr>
            <w:tcW w:w="1275" w:type="dxa"/>
            <w:vAlign w:val="center"/>
          </w:tcPr>
          <w:p w14:paraId="60A138BE"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12.4-17.6</w:t>
            </w:r>
          </w:p>
        </w:tc>
        <w:tc>
          <w:tcPr>
            <w:tcW w:w="1560" w:type="dxa"/>
            <w:vAlign w:val="center"/>
          </w:tcPr>
          <w:p w14:paraId="34157483"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1.75 </w:t>
            </w:r>
          </w:p>
          <w:p w14:paraId="240AB13C" w14:textId="66AA7348"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(1.16-2.65)</w:t>
            </w:r>
          </w:p>
        </w:tc>
      </w:tr>
      <w:tr w:rsidR="002F0703" w:rsidRPr="005E1068" w14:paraId="35ECFBA9" w14:textId="77777777" w:rsidTr="00C528D3">
        <w:trPr>
          <w:jc w:val="center"/>
        </w:trPr>
        <w:tc>
          <w:tcPr>
            <w:tcW w:w="1975" w:type="dxa"/>
            <w:shd w:val="clear" w:color="auto" w:fill="auto"/>
            <w:vAlign w:val="center"/>
          </w:tcPr>
          <w:p w14:paraId="6B9E0619" w14:textId="16B40283" w:rsidR="002F0703" w:rsidRPr="005E1068" w:rsidRDefault="00B919B8" w:rsidP="00C528D3">
            <w:pPr>
              <w:jc w:val="center"/>
              <w:rPr>
                <w:rFonts w:ascii="Times New Roman" w:hAnsi="Times New Roman"/>
                <w:bCs/>
                <w:sz w:val="20"/>
                <w:szCs w:val="20"/>
              </w:rPr>
            </w:pPr>
            <w:r w:rsidRPr="005E1068">
              <w:rPr>
                <w:rFonts w:ascii="Times New Roman" w:hAnsi="Times New Roman"/>
                <w:bCs/>
                <w:sz w:val="20"/>
              </w:rPr>
              <w:t>Manipulación de agroquímicos con código verde</w:t>
            </w:r>
          </w:p>
        </w:tc>
        <w:tc>
          <w:tcPr>
            <w:tcW w:w="714" w:type="dxa"/>
            <w:tcBorders>
              <w:bottom w:val="single" w:sz="4" w:space="0" w:color="auto"/>
            </w:tcBorders>
            <w:shd w:val="clear" w:color="auto" w:fill="auto"/>
            <w:vAlign w:val="center"/>
          </w:tcPr>
          <w:p w14:paraId="285CDB27" w14:textId="77777777" w:rsidR="002F0703" w:rsidRPr="005E1068" w:rsidRDefault="002F0703" w:rsidP="00C528D3">
            <w:pPr>
              <w:spacing w:line="360" w:lineRule="auto"/>
              <w:rPr>
                <w:rFonts w:ascii="Times New Roman" w:hAnsi="Times New Roman"/>
                <w:b/>
                <w:sz w:val="20"/>
                <w:szCs w:val="20"/>
                <w:lang w:val="en-US"/>
              </w:rPr>
            </w:pPr>
            <w:r w:rsidRPr="005E1068">
              <w:rPr>
                <w:rFonts w:ascii="Times New Roman" w:hAnsi="Times New Roman"/>
                <w:sz w:val="20"/>
                <w:szCs w:val="20"/>
                <w:lang w:val="en-US"/>
              </w:rPr>
              <w:t>19.0</w:t>
            </w:r>
          </w:p>
        </w:tc>
        <w:tc>
          <w:tcPr>
            <w:tcW w:w="992" w:type="dxa"/>
            <w:tcBorders>
              <w:bottom w:val="single" w:sz="4" w:space="0" w:color="auto"/>
            </w:tcBorders>
            <w:shd w:val="clear" w:color="auto" w:fill="auto"/>
            <w:vAlign w:val="center"/>
          </w:tcPr>
          <w:p w14:paraId="0D503A91"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13.9-24.2</w:t>
            </w:r>
          </w:p>
        </w:tc>
        <w:tc>
          <w:tcPr>
            <w:tcW w:w="850" w:type="dxa"/>
            <w:tcBorders>
              <w:bottom w:val="single" w:sz="4" w:space="0" w:color="auto"/>
            </w:tcBorders>
            <w:shd w:val="clear" w:color="auto" w:fill="auto"/>
            <w:vAlign w:val="center"/>
          </w:tcPr>
          <w:p w14:paraId="59E38685"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13.1</w:t>
            </w:r>
          </w:p>
        </w:tc>
        <w:tc>
          <w:tcPr>
            <w:tcW w:w="1134" w:type="dxa"/>
            <w:tcBorders>
              <w:bottom w:val="single" w:sz="4" w:space="0" w:color="auto"/>
            </w:tcBorders>
            <w:shd w:val="clear" w:color="auto" w:fill="auto"/>
            <w:vAlign w:val="center"/>
          </w:tcPr>
          <w:p w14:paraId="08AC7EDA"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10.8-15.5</w:t>
            </w:r>
          </w:p>
        </w:tc>
        <w:tc>
          <w:tcPr>
            <w:tcW w:w="1418" w:type="dxa"/>
            <w:shd w:val="clear" w:color="auto" w:fill="auto"/>
            <w:vAlign w:val="center"/>
          </w:tcPr>
          <w:p w14:paraId="0B87BE06"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1.55</w:t>
            </w:r>
          </w:p>
          <w:p w14:paraId="5C8B1F33" w14:textId="655F13CE" w:rsidR="002F0703" w:rsidRPr="005E1068" w:rsidRDefault="002F0703" w:rsidP="00C528D3">
            <w:pPr>
              <w:spacing w:line="360" w:lineRule="auto"/>
              <w:rPr>
                <w:rFonts w:ascii="Times New Roman" w:hAnsi="Times New Roman"/>
                <w:b/>
                <w:sz w:val="20"/>
                <w:szCs w:val="20"/>
                <w:lang w:val="en-US"/>
              </w:rPr>
            </w:pPr>
            <w:r w:rsidRPr="005E1068">
              <w:rPr>
                <w:rFonts w:ascii="Times New Roman" w:hAnsi="Times New Roman"/>
                <w:sz w:val="20"/>
                <w:szCs w:val="20"/>
                <w:lang w:val="en-US"/>
              </w:rPr>
              <w:t xml:space="preserve"> (1.12-2.15)</w:t>
            </w:r>
          </w:p>
        </w:tc>
        <w:tc>
          <w:tcPr>
            <w:tcW w:w="850" w:type="dxa"/>
            <w:vAlign w:val="center"/>
          </w:tcPr>
          <w:p w14:paraId="6038D598"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21.5</w:t>
            </w:r>
          </w:p>
        </w:tc>
        <w:tc>
          <w:tcPr>
            <w:tcW w:w="1276" w:type="dxa"/>
            <w:vAlign w:val="center"/>
          </w:tcPr>
          <w:p w14:paraId="7F6721E6"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14.7-30.2</w:t>
            </w:r>
          </w:p>
        </w:tc>
        <w:tc>
          <w:tcPr>
            <w:tcW w:w="851" w:type="dxa"/>
            <w:vAlign w:val="center"/>
          </w:tcPr>
          <w:p w14:paraId="328C7429"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14.7</w:t>
            </w:r>
          </w:p>
        </w:tc>
        <w:tc>
          <w:tcPr>
            <w:tcW w:w="1275" w:type="dxa"/>
            <w:vAlign w:val="center"/>
          </w:tcPr>
          <w:p w14:paraId="51510942"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12.3-17.5</w:t>
            </w:r>
          </w:p>
        </w:tc>
        <w:tc>
          <w:tcPr>
            <w:tcW w:w="1560" w:type="dxa"/>
            <w:vAlign w:val="center"/>
          </w:tcPr>
          <w:p w14:paraId="3A2C256D"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1.59</w:t>
            </w:r>
          </w:p>
          <w:p w14:paraId="2CDD03F1" w14:textId="48E2A6F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 (1.03-2.46)</w:t>
            </w:r>
          </w:p>
        </w:tc>
      </w:tr>
      <w:tr w:rsidR="002F0703" w:rsidRPr="005E1068" w14:paraId="62BF14C3" w14:textId="77777777" w:rsidTr="00C528D3">
        <w:trPr>
          <w:jc w:val="center"/>
        </w:trPr>
        <w:tc>
          <w:tcPr>
            <w:tcW w:w="1975" w:type="dxa"/>
            <w:shd w:val="clear" w:color="auto" w:fill="auto"/>
            <w:vAlign w:val="center"/>
          </w:tcPr>
          <w:p w14:paraId="5F7F4454" w14:textId="12D10D58" w:rsidR="002F0703" w:rsidRPr="005E1068" w:rsidRDefault="00B919B8" w:rsidP="00C528D3">
            <w:pPr>
              <w:jc w:val="center"/>
              <w:rPr>
                <w:rFonts w:ascii="Times New Roman" w:hAnsi="Times New Roman"/>
                <w:bCs/>
                <w:sz w:val="20"/>
                <w:szCs w:val="20"/>
                <w:lang w:val="en-US"/>
              </w:rPr>
            </w:pPr>
            <w:r w:rsidRPr="005E1068">
              <w:rPr>
                <w:rFonts w:ascii="Times New Roman" w:hAnsi="Times New Roman"/>
                <w:bCs/>
                <w:sz w:val="20"/>
              </w:rPr>
              <w:lastRenderedPageBreak/>
              <w:t xml:space="preserve">Manipulación de agroquímicos </w:t>
            </w:r>
            <w:proofErr w:type="spellStart"/>
            <w:r w:rsidRPr="005E1068">
              <w:rPr>
                <w:rFonts w:ascii="Times New Roman" w:hAnsi="Times New Roman"/>
                <w:bCs/>
                <w:sz w:val="20"/>
              </w:rPr>
              <w:t>nefrotóxicos</w:t>
            </w:r>
            <w:proofErr w:type="spellEnd"/>
          </w:p>
        </w:tc>
        <w:tc>
          <w:tcPr>
            <w:tcW w:w="714" w:type="dxa"/>
            <w:tcBorders>
              <w:bottom w:val="single" w:sz="4" w:space="0" w:color="auto"/>
            </w:tcBorders>
            <w:shd w:val="clear" w:color="auto" w:fill="auto"/>
            <w:vAlign w:val="center"/>
          </w:tcPr>
          <w:p w14:paraId="306D44BA" w14:textId="77777777" w:rsidR="002F0703" w:rsidRPr="005E1068" w:rsidRDefault="002F0703" w:rsidP="00C528D3">
            <w:pPr>
              <w:spacing w:line="360" w:lineRule="auto"/>
              <w:rPr>
                <w:rFonts w:ascii="Times New Roman" w:hAnsi="Times New Roman"/>
                <w:b/>
                <w:sz w:val="20"/>
                <w:szCs w:val="20"/>
                <w:lang w:val="en-US"/>
              </w:rPr>
            </w:pPr>
            <w:r w:rsidRPr="005E1068">
              <w:rPr>
                <w:rFonts w:ascii="Times New Roman" w:hAnsi="Times New Roman"/>
                <w:sz w:val="20"/>
                <w:szCs w:val="20"/>
                <w:lang w:val="en-US"/>
              </w:rPr>
              <w:t>8.9</w:t>
            </w:r>
          </w:p>
        </w:tc>
        <w:tc>
          <w:tcPr>
            <w:tcW w:w="992" w:type="dxa"/>
            <w:tcBorders>
              <w:bottom w:val="single" w:sz="4" w:space="0" w:color="auto"/>
            </w:tcBorders>
            <w:shd w:val="clear" w:color="auto" w:fill="auto"/>
            <w:vAlign w:val="center"/>
          </w:tcPr>
          <w:p w14:paraId="6AF250DC"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5.1-12.8</w:t>
            </w:r>
          </w:p>
        </w:tc>
        <w:tc>
          <w:tcPr>
            <w:tcW w:w="850" w:type="dxa"/>
            <w:tcBorders>
              <w:bottom w:val="single" w:sz="4" w:space="0" w:color="auto"/>
            </w:tcBorders>
            <w:shd w:val="clear" w:color="auto" w:fill="auto"/>
            <w:vAlign w:val="center"/>
          </w:tcPr>
          <w:p w14:paraId="6D14F816"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7.1</w:t>
            </w:r>
          </w:p>
        </w:tc>
        <w:tc>
          <w:tcPr>
            <w:tcW w:w="1134" w:type="dxa"/>
            <w:tcBorders>
              <w:bottom w:val="single" w:sz="4" w:space="0" w:color="auto"/>
            </w:tcBorders>
            <w:shd w:val="clear" w:color="auto" w:fill="auto"/>
            <w:vAlign w:val="center"/>
          </w:tcPr>
          <w:p w14:paraId="587E610C"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5.6-8.5</w:t>
            </w:r>
          </w:p>
        </w:tc>
        <w:tc>
          <w:tcPr>
            <w:tcW w:w="1418" w:type="dxa"/>
            <w:shd w:val="clear" w:color="auto" w:fill="auto"/>
            <w:vAlign w:val="center"/>
          </w:tcPr>
          <w:p w14:paraId="3D1B0212"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1.29 </w:t>
            </w:r>
          </w:p>
          <w:p w14:paraId="035DE959" w14:textId="0F369C68"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(0.84-2.00)</w:t>
            </w:r>
          </w:p>
        </w:tc>
        <w:tc>
          <w:tcPr>
            <w:tcW w:w="850" w:type="dxa"/>
            <w:vAlign w:val="center"/>
          </w:tcPr>
          <w:p w14:paraId="44CDA298"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12.3</w:t>
            </w:r>
          </w:p>
        </w:tc>
        <w:tc>
          <w:tcPr>
            <w:tcW w:w="1276" w:type="dxa"/>
            <w:vAlign w:val="center"/>
          </w:tcPr>
          <w:p w14:paraId="1FE381F4"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7.3-20.0</w:t>
            </w:r>
          </w:p>
        </w:tc>
        <w:tc>
          <w:tcPr>
            <w:tcW w:w="851" w:type="dxa"/>
            <w:vAlign w:val="center"/>
          </w:tcPr>
          <w:p w14:paraId="75FD3438"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7.6</w:t>
            </w:r>
          </w:p>
        </w:tc>
        <w:tc>
          <w:tcPr>
            <w:tcW w:w="1275" w:type="dxa"/>
            <w:vAlign w:val="center"/>
          </w:tcPr>
          <w:p w14:paraId="0DC94C98"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6.0-9.6</w:t>
            </w:r>
          </w:p>
        </w:tc>
        <w:tc>
          <w:tcPr>
            <w:tcW w:w="1560" w:type="dxa"/>
            <w:vAlign w:val="center"/>
          </w:tcPr>
          <w:p w14:paraId="4B205F23"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1.71 </w:t>
            </w:r>
          </w:p>
          <w:p w14:paraId="7E8C2D9E" w14:textId="41C55A2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(0.98-2.97)</w:t>
            </w:r>
          </w:p>
        </w:tc>
      </w:tr>
      <w:tr w:rsidR="002F0703" w:rsidRPr="005E1068" w14:paraId="28B17389" w14:textId="77777777" w:rsidTr="00C528D3">
        <w:trPr>
          <w:jc w:val="center"/>
        </w:trPr>
        <w:tc>
          <w:tcPr>
            <w:tcW w:w="1975" w:type="dxa"/>
            <w:shd w:val="clear" w:color="auto" w:fill="auto"/>
            <w:vAlign w:val="center"/>
          </w:tcPr>
          <w:p w14:paraId="578C5B2C" w14:textId="78F9B3D2" w:rsidR="002F0703" w:rsidRPr="005E1068" w:rsidRDefault="00B919B8" w:rsidP="00C528D3">
            <w:pPr>
              <w:jc w:val="center"/>
              <w:rPr>
                <w:rFonts w:ascii="Times New Roman" w:hAnsi="Times New Roman"/>
                <w:bCs/>
                <w:sz w:val="20"/>
                <w:szCs w:val="20"/>
                <w:lang w:val="en-US"/>
              </w:rPr>
            </w:pPr>
            <w:r w:rsidRPr="005E1068">
              <w:rPr>
                <w:rFonts w:ascii="Times New Roman" w:hAnsi="Times New Roman"/>
                <w:bCs/>
                <w:sz w:val="20"/>
              </w:rPr>
              <w:t xml:space="preserve">Manipulación de </w:t>
            </w:r>
            <w:proofErr w:type="spellStart"/>
            <w:r w:rsidRPr="005E1068">
              <w:rPr>
                <w:rFonts w:ascii="Times New Roman" w:hAnsi="Times New Roman"/>
                <w:bCs/>
                <w:sz w:val="20"/>
              </w:rPr>
              <w:t>paraquat</w:t>
            </w:r>
            <w:proofErr w:type="spellEnd"/>
          </w:p>
        </w:tc>
        <w:tc>
          <w:tcPr>
            <w:tcW w:w="714" w:type="dxa"/>
            <w:tcBorders>
              <w:bottom w:val="single" w:sz="4" w:space="0" w:color="auto"/>
            </w:tcBorders>
            <w:shd w:val="clear" w:color="auto" w:fill="auto"/>
            <w:vAlign w:val="center"/>
          </w:tcPr>
          <w:p w14:paraId="3E929B20" w14:textId="77777777" w:rsidR="002F0703" w:rsidRPr="005E1068" w:rsidRDefault="002F0703" w:rsidP="00C528D3">
            <w:pPr>
              <w:spacing w:line="360" w:lineRule="auto"/>
              <w:rPr>
                <w:rFonts w:ascii="Times New Roman" w:hAnsi="Times New Roman"/>
                <w:b/>
                <w:sz w:val="20"/>
                <w:szCs w:val="20"/>
                <w:lang w:val="en-US"/>
              </w:rPr>
            </w:pPr>
            <w:r w:rsidRPr="005E1068">
              <w:rPr>
                <w:rFonts w:ascii="Times New Roman" w:hAnsi="Times New Roman"/>
                <w:sz w:val="20"/>
                <w:szCs w:val="20"/>
                <w:lang w:val="en-US"/>
              </w:rPr>
              <w:t>43.0</w:t>
            </w:r>
          </w:p>
        </w:tc>
        <w:tc>
          <w:tcPr>
            <w:tcW w:w="992" w:type="dxa"/>
            <w:tcBorders>
              <w:bottom w:val="single" w:sz="4" w:space="0" w:color="auto"/>
            </w:tcBorders>
            <w:shd w:val="clear" w:color="auto" w:fill="auto"/>
            <w:vAlign w:val="center"/>
          </w:tcPr>
          <w:p w14:paraId="1955E2EF"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36.4-49.5</w:t>
            </w:r>
          </w:p>
        </w:tc>
        <w:tc>
          <w:tcPr>
            <w:tcW w:w="850" w:type="dxa"/>
            <w:tcBorders>
              <w:bottom w:val="single" w:sz="4" w:space="0" w:color="auto"/>
            </w:tcBorders>
            <w:shd w:val="clear" w:color="auto" w:fill="auto"/>
            <w:vAlign w:val="center"/>
          </w:tcPr>
          <w:p w14:paraId="0EEFA92B"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30.3</w:t>
            </w:r>
          </w:p>
        </w:tc>
        <w:tc>
          <w:tcPr>
            <w:tcW w:w="1134" w:type="dxa"/>
            <w:tcBorders>
              <w:bottom w:val="single" w:sz="4" w:space="0" w:color="auto"/>
            </w:tcBorders>
            <w:shd w:val="clear" w:color="auto" w:fill="auto"/>
            <w:vAlign w:val="center"/>
          </w:tcPr>
          <w:p w14:paraId="1B398EE5" w14:textId="77777777"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27.1-33.4</w:t>
            </w:r>
          </w:p>
        </w:tc>
        <w:tc>
          <w:tcPr>
            <w:tcW w:w="1418" w:type="dxa"/>
            <w:shd w:val="clear" w:color="auto" w:fill="auto"/>
            <w:vAlign w:val="center"/>
          </w:tcPr>
          <w:p w14:paraId="14DBF95D"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1.73 </w:t>
            </w:r>
          </w:p>
          <w:p w14:paraId="0A2BAA7B" w14:textId="439A6330" w:rsidR="002F0703" w:rsidRPr="005E1068" w:rsidRDefault="002F0703" w:rsidP="00C528D3">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(1.34-2.25)</w:t>
            </w:r>
          </w:p>
        </w:tc>
        <w:tc>
          <w:tcPr>
            <w:tcW w:w="850" w:type="dxa"/>
            <w:vAlign w:val="center"/>
          </w:tcPr>
          <w:p w14:paraId="4837E881"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46.7</w:t>
            </w:r>
          </w:p>
        </w:tc>
        <w:tc>
          <w:tcPr>
            <w:tcW w:w="1276" w:type="dxa"/>
            <w:vAlign w:val="center"/>
          </w:tcPr>
          <w:p w14:paraId="23DF8311"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36.1-57.2</w:t>
            </w:r>
          </w:p>
        </w:tc>
        <w:tc>
          <w:tcPr>
            <w:tcW w:w="851" w:type="dxa"/>
            <w:vAlign w:val="center"/>
          </w:tcPr>
          <w:p w14:paraId="50B3F3B9"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33.4</w:t>
            </w:r>
          </w:p>
        </w:tc>
        <w:tc>
          <w:tcPr>
            <w:tcW w:w="1275" w:type="dxa"/>
            <w:vAlign w:val="center"/>
          </w:tcPr>
          <w:p w14:paraId="2299E42A"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29.9-36.9</w:t>
            </w:r>
          </w:p>
        </w:tc>
        <w:tc>
          <w:tcPr>
            <w:tcW w:w="1560" w:type="dxa"/>
            <w:vAlign w:val="center"/>
          </w:tcPr>
          <w:p w14:paraId="0AD988DF"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1.74 </w:t>
            </w:r>
          </w:p>
          <w:p w14:paraId="04D2DE93" w14:textId="732FC65B"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(1.13-2.69)</w:t>
            </w:r>
          </w:p>
        </w:tc>
      </w:tr>
      <w:tr w:rsidR="002F0703" w:rsidRPr="005E1068" w14:paraId="2CFBB950" w14:textId="77777777" w:rsidTr="00C528D3">
        <w:trPr>
          <w:jc w:val="center"/>
        </w:trPr>
        <w:tc>
          <w:tcPr>
            <w:tcW w:w="12895" w:type="dxa"/>
            <w:gridSpan w:val="11"/>
            <w:shd w:val="clear" w:color="auto" w:fill="E5B8B7" w:themeFill="accent2" w:themeFillTint="66"/>
            <w:vAlign w:val="center"/>
          </w:tcPr>
          <w:p w14:paraId="3AAA2935" w14:textId="6F0C76D8" w:rsidR="002F0703" w:rsidRPr="005E1068" w:rsidRDefault="00B919B8" w:rsidP="00C528D3">
            <w:pPr>
              <w:spacing w:line="360" w:lineRule="auto"/>
              <w:jc w:val="center"/>
              <w:rPr>
                <w:rFonts w:ascii="Times New Roman" w:hAnsi="Times New Roman"/>
                <w:sz w:val="20"/>
                <w:szCs w:val="20"/>
              </w:rPr>
            </w:pPr>
            <w:r w:rsidRPr="005E1068">
              <w:rPr>
                <w:rFonts w:ascii="Times New Roman" w:hAnsi="Times New Roman"/>
                <w:sz w:val="20"/>
                <w:szCs w:val="20"/>
              </w:rPr>
              <w:t>Exposición pasada a condiciones asociadas con los agroquímicos</w:t>
            </w:r>
          </w:p>
        </w:tc>
      </w:tr>
      <w:tr w:rsidR="002F0703" w:rsidRPr="005E1068" w14:paraId="1960153D" w14:textId="77777777" w:rsidTr="00C528D3">
        <w:trPr>
          <w:jc w:val="center"/>
        </w:trPr>
        <w:tc>
          <w:tcPr>
            <w:tcW w:w="1975" w:type="dxa"/>
            <w:shd w:val="clear" w:color="auto" w:fill="auto"/>
            <w:vAlign w:val="center"/>
          </w:tcPr>
          <w:p w14:paraId="5000EA7C" w14:textId="300E92BC" w:rsidR="002F0703" w:rsidRPr="005E1068" w:rsidRDefault="00B919B8" w:rsidP="00C528D3">
            <w:pPr>
              <w:jc w:val="center"/>
              <w:rPr>
                <w:rFonts w:ascii="Times New Roman" w:hAnsi="Times New Roman"/>
                <w:bCs/>
                <w:sz w:val="20"/>
                <w:szCs w:val="20"/>
                <w:lang w:val="en-US"/>
              </w:rPr>
            </w:pPr>
            <w:r w:rsidRPr="005E1068">
              <w:rPr>
                <w:rFonts w:ascii="Times New Roman" w:hAnsi="Times New Roman"/>
                <w:bCs/>
                <w:sz w:val="20"/>
              </w:rPr>
              <w:t>Ocupación laboral agrícola pasada</w:t>
            </w:r>
          </w:p>
        </w:tc>
        <w:tc>
          <w:tcPr>
            <w:tcW w:w="714" w:type="dxa"/>
            <w:shd w:val="clear" w:color="auto" w:fill="FFFFFF" w:themeFill="background1"/>
            <w:vAlign w:val="center"/>
          </w:tcPr>
          <w:p w14:paraId="4E306845" w14:textId="77777777" w:rsidR="002F0703" w:rsidRPr="005E1068" w:rsidRDefault="002F0703" w:rsidP="00C528D3">
            <w:pPr>
              <w:spacing w:line="360" w:lineRule="auto"/>
              <w:rPr>
                <w:rFonts w:ascii="Times New Roman" w:hAnsi="Times New Roman"/>
                <w:sz w:val="20"/>
                <w:szCs w:val="20"/>
                <w:lang w:val="en-US"/>
              </w:rPr>
            </w:pPr>
            <w:r w:rsidRPr="005E1068">
              <w:rPr>
                <w:rFonts w:ascii="Times New Roman" w:hAnsi="Times New Roman"/>
                <w:sz w:val="20"/>
                <w:szCs w:val="20"/>
                <w:lang w:val="en-US"/>
              </w:rPr>
              <w:t>44.9</w:t>
            </w:r>
          </w:p>
        </w:tc>
        <w:tc>
          <w:tcPr>
            <w:tcW w:w="992" w:type="dxa"/>
            <w:shd w:val="clear" w:color="auto" w:fill="FFFFFF" w:themeFill="background1"/>
            <w:vAlign w:val="center"/>
          </w:tcPr>
          <w:p w14:paraId="321CF503"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39.4-50.5</w:t>
            </w:r>
          </w:p>
        </w:tc>
        <w:tc>
          <w:tcPr>
            <w:tcW w:w="850" w:type="dxa"/>
            <w:shd w:val="clear" w:color="auto" w:fill="FFFFFF" w:themeFill="background1"/>
            <w:vAlign w:val="center"/>
          </w:tcPr>
          <w:p w14:paraId="1BF034AE"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31.9</w:t>
            </w:r>
          </w:p>
        </w:tc>
        <w:tc>
          <w:tcPr>
            <w:tcW w:w="1134" w:type="dxa"/>
            <w:shd w:val="clear" w:color="auto" w:fill="FFFFFF" w:themeFill="background1"/>
            <w:vAlign w:val="center"/>
          </w:tcPr>
          <w:p w14:paraId="6921C0B7"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29.2-34.6</w:t>
            </w:r>
          </w:p>
        </w:tc>
        <w:tc>
          <w:tcPr>
            <w:tcW w:w="1418" w:type="dxa"/>
            <w:shd w:val="clear" w:color="auto" w:fill="auto"/>
            <w:vAlign w:val="center"/>
          </w:tcPr>
          <w:p w14:paraId="5D530590"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1.75</w:t>
            </w:r>
          </w:p>
          <w:p w14:paraId="4EEB0D96" w14:textId="68F36ABF" w:rsidR="002F0703" w:rsidRPr="005E1068" w:rsidRDefault="002F0703" w:rsidP="00C528D3">
            <w:pPr>
              <w:spacing w:line="360" w:lineRule="auto"/>
              <w:rPr>
                <w:rFonts w:ascii="Times New Roman" w:hAnsi="Times New Roman"/>
                <w:sz w:val="20"/>
                <w:szCs w:val="20"/>
                <w:lang w:val="en-US"/>
              </w:rPr>
            </w:pPr>
            <w:r w:rsidRPr="005E1068">
              <w:rPr>
                <w:rFonts w:ascii="Times New Roman" w:hAnsi="Times New Roman"/>
                <w:sz w:val="20"/>
                <w:szCs w:val="20"/>
                <w:lang w:val="en-US"/>
              </w:rPr>
              <w:t xml:space="preserve"> (1.38-2.21)</w:t>
            </w:r>
          </w:p>
        </w:tc>
        <w:tc>
          <w:tcPr>
            <w:tcW w:w="850" w:type="dxa"/>
            <w:vAlign w:val="center"/>
          </w:tcPr>
          <w:p w14:paraId="2A751CEB"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38.8</w:t>
            </w:r>
          </w:p>
        </w:tc>
        <w:tc>
          <w:tcPr>
            <w:tcW w:w="1276" w:type="dxa"/>
            <w:vAlign w:val="center"/>
          </w:tcPr>
          <w:p w14:paraId="69E32CA6"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29.3-48.3</w:t>
            </w:r>
          </w:p>
        </w:tc>
        <w:tc>
          <w:tcPr>
            <w:tcW w:w="851" w:type="dxa"/>
            <w:vAlign w:val="center"/>
          </w:tcPr>
          <w:p w14:paraId="4B34CEDF"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32.0</w:t>
            </w:r>
          </w:p>
        </w:tc>
        <w:tc>
          <w:tcPr>
            <w:tcW w:w="1275" w:type="dxa"/>
            <w:vAlign w:val="center"/>
          </w:tcPr>
          <w:p w14:paraId="43F11070"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29.0-35.0</w:t>
            </w:r>
          </w:p>
        </w:tc>
        <w:tc>
          <w:tcPr>
            <w:tcW w:w="1560" w:type="dxa"/>
            <w:vAlign w:val="center"/>
          </w:tcPr>
          <w:p w14:paraId="3DF10BDD"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1.35 </w:t>
            </w:r>
          </w:p>
          <w:p w14:paraId="121060D9" w14:textId="176CA48A"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(0.89-2.06)</w:t>
            </w:r>
          </w:p>
        </w:tc>
      </w:tr>
      <w:tr w:rsidR="002F0703" w:rsidRPr="005E1068" w14:paraId="75CBF11C" w14:textId="77777777" w:rsidTr="00C528D3">
        <w:trPr>
          <w:jc w:val="center"/>
        </w:trPr>
        <w:tc>
          <w:tcPr>
            <w:tcW w:w="1975" w:type="dxa"/>
            <w:shd w:val="clear" w:color="auto" w:fill="auto"/>
            <w:vAlign w:val="center"/>
          </w:tcPr>
          <w:p w14:paraId="161B85AD" w14:textId="7D48D1C8" w:rsidR="002F0703" w:rsidRPr="005E1068" w:rsidRDefault="00B919B8" w:rsidP="00C528D3">
            <w:pPr>
              <w:jc w:val="center"/>
              <w:rPr>
                <w:rFonts w:ascii="Times New Roman" w:hAnsi="Times New Roman"/>
                <w:bCs/>
                <w:sz w:val="20"/>
                <w:szCs w:val="20"/>
              </w:rPr>
            </w:pPr>
            <w:r w:rsidRPr="005E1068">
              <w:rPr>
                <w:rFonts w:ascii="Times New Roman" w:hAnsi="Times New Roman"/>
                <w:bCs/>
                <w:sz w:val="20"/>
                <w:lang w:val="es-ES_tradnl"/>
              </w:rPr>
              <w:t>Exposición laboral específicamente relacionada con agroquímicos</w:t>
            </w:r>
          </w:p>
        </w:tc>
        <w:tc>
          <w:tcPr>
            <w:tcW w:w="714" w:type="dxa"/>
            <w:shd w:val="clear" w:color="auto" w:fill="FFFFFF" w:themeFill="background1"/>
            <w:vAlign w:val="center"/>
          </w:tcPr>
          <w:p w14:paraId="38E40062" w14:textId="77777777" w:rsidR="002F0703" w:rsidRPr="005E1068" w:rsidRDefault="002F0703" w:rsidP="00C528D3">
            <w:pPr>
              <w:spacing w:line="360" w:lineRule="auto"/>
              <w:rPr>
                <w:rFonts w:ascii="Times New Roman" w:hAnsi="Times New Roman"/>
                <w:sz w:val="20"/>
                <w:szCs w:val="20"/>
                <w:lang w:val="en-US"/>
              </w:rPr>
            </w:pPr>
            <w:r w:rsidRPr="005E1068">
              <w:rPr>
                <w:rFonts w:ascii="Times New Roman" w:hAnsi="Times New Roman"/>
                <w:sz w:val="20"/>
                <w:szCs w:val="20"/>
                <w:lang w:val="en-US"/>
              </w:rPr>
              <w:t>27.5</w:t>
            </w:r>
          </w:p>
        </w:tc>
        <w:tc>
          <w:tcPr>
            <w:tcW w:w="992" w:type="dxa"/>
            <w:shd w:val="clear" w:color="auto" w:fill="FFFFFF" w:themeFill="background1"/>
            <w:vAlign w:val="center"/>
          </w:tcPr>
          <w:p w14:paraId="1DEF94D5"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22.0-33.0</w:t>
            </w:r>
          </w:p>
        </w:tc>
        <w:tc>
          <w:tcPr>
            <w:tcW w:w="850" w:type="dxa"/>
            <w:shd w:val="clear" w:color="auto" w:fill="FFFFFF" w:themeFill="background1"/>
            <w:vAlign w:val="center"/>
          </w:tcPr>
          <w:p w14:paraId="0B2D7212"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18.3</w:t>
            </w:r>
          </w:p>
        </w:tc>
        <w:tc>
          <w:tcPr>
            <w:tcW w:w="1134" w:type="dxa"/>
            <w:shd w:val="clear" w:color="auto" w:fill="FFFFFF" w:themeFill="background1"/>
            <w:vAlign w:val="center"/>
          </w:tcPr>
          <w:p w14:paraId="697DC2FA"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15.9-20.7</w:t>
            </w:r>
          </w:p>
        </w:tc>
        <w:tc>
          <w:tcPr>
            <w:tcW w:w="1418" w:type="dxa"/>
            <w:shd w:val="clear" w:color="auto" w:fill="auto"/>
            <w:vAlign w:val="center"/>
          </w:tcPr>
          <w:p w14:paraId="43E0AF8A"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1.70 </w:t>
            </w:r>
          </w:p>
          <w:p w14:paraId="18ADD1A1" w14:textId="7A5FAF9A"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(1.29-2.24)</w:t>
            </w:r>
          </w:p>
        </w:tc>
        <w:tc>
          <w:tcPr>
            <w:tcW w:w="850" w:type="dxa"/>
            <w:vAlign w:val="center"/>
          </w:tcPr>
          <w:p w14:paraId="5F4FDB0A"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36.8</w:t>
            </w:r>
          </w:p>
        </w:tc>
        <w:tc>
          <w:tcPr>
            <w:tcW w:w="1276" w:type="dxa"/>
            <w:vAlign w:val="center"/>
          </w:tcPr>
          <w:p w14:paraId="1592E866"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26.9-46.7</w:t>
            </w:r>
          </w:p>
        </w:tc>
        <w:tc>
          <w:tcPr>
            <w:tcW w:w="851" w:type="dxa"/>
            <w:vAlign w:val="center"/>
          </w:tcPr>
          <w:p w14:paraId="3FEA5BC2"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19.6</w:t>
            </w:r>
          </w:p>
        </w:tc>
        <w:tc>
          <w:tcPr>
            <w:tcW w:w="1275" w:type="dxa"/>
            <w:vAlign w:val="center"/>
          </w:tcPr>
          <w:p w14:paraId="1CCEFEFD"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16.8-22.4</w:t>
            </w:r>
          </w:p>
        </w:tc>
        <w:tc>
          <w:tcPr>
            <w:tcW w:w="1560" w:type="dxa"/>
            <w:vAlign w:val="center"/>
          </w:tcPr>
          <w:p w14:paraId="3D173111"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2.39</w:t>
            </w:r>
          </w:p>
          <w:p w14:paraId="4C18FDC3" w14:textId="44D511C3"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 (1.58-3.61)</w:t>
            </w:r>
          </w:p>
        </w:tc>
      </w:tr>
      <w:tr w:rsidR="002F0703" w:rsidRPr="005E1068" w14:paraId="3FEE0BC9" w14:textId="77777777" w:rsidTr="00C528D3">
        <w:trPr>
          <w:jc w:val="center"/>
        </w:trPr>
        <w:tc>
          <w:tcPr>
            <w:tcW w:w="1975" w:type="dxa"/>
            <w:shd w:val="clear" w:color="auto" w:fill="auto"/>
            <w:vAlign w:val="center"/>
          </w:tcPr>
          <w:p w14:paraId="2BEDC61F" w14:textId="48C0C606" w:rsidR="002F0703" w:rsidRPr="005E1068" w:rsidRDefault="00B919B8" w:rsidP="00C528D3">
            <w:pPr>
              <w:jc w:val="center"/>
              <w:rPr>
                <w:rFonts w:ascii="Times New Roman" w:hAnsi="Times New Roman"/>
                <w:bCs/>
                <w:sz w:val="20"/>
                <w:szCs w:val="20"/>
              </w:rPr>
            </w:pPr>
            <w:r w:rsidRPr="005E1068">
              <w:rPr>
                <w:rFonts w:ascii="Times New Roman" w:hAnsi="Times New Roman"/>
                <w:bCs/>
                <w:sz w:val="20"/>
              </w:rPr>
              <w:t>Consumo de agua de pozo, manantial o río</w:t>
            </w:r>
          </w:p>
        </w:tc>
        <w:tc>
          <w:tcPr>
            <w:tcW w:w="714" w:type="dxa"/>
            <w:shd w:val="clear" w:color="auto" w:fill="FFFFFF" w:themeFill="background1"/>
            <w:vAlign w:val="center"/>
          </w:tcPr>
          <w:p w14:paraId="5BD64BFB" w14:textId="77777777" w:rsidR="002F0703" w:rsidRPr="005E1068" w:rsidRDefault="002F0703" w:rsidP="00C528D3">
            <w:pPr>
              <w:spacing w:line="360" w:lineRule="auto"/>
              <w:rPr>
                <w:rFonts w:ascii="Times New Roman" w:hAnsi="Times New Roman"/>
                <w:sz w:val="20"/>
                <w:szCs w:val="20"/>
                <w:lang w:val="en-US"/>
              </w:rPr>
            </w:pPr>
            <w:r w:rsidRPr="005E1068">
              <w:rPr>
                <w:rFonts w:ascii="Times New Roman" w:hAnsi="Times New Roman"/>
                <w:sz w:val="20"/>
                <w:szCs w:val="20"/>
                <w:lang w:val="en-US"/>
              </w:rPr>
              <w:t>73.0</w:t>
            </w:r>
          </w:p>
        </w:tc>
        <w:tc>
          <w:tcPr>
            <w:tcW w:w="992" w:type="dxa"/>
            <w:shd w:val="clear" w:color="auto" w:fill="FFFFFF" w:themeFill="background1"/>
            <w:vAlign w:val="center"/>
          </w:tcPr>
          <w:p w14:paraId="472DC947"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67.4-78.6</w:t>
            </w:r>
          </w:p>
        </w:tc>
        <w:tc>
          <w:tcPr>
            <w:tcW w:w="850" w:type="dxa"/>
            <w:shd w:val="clear" w:color="auto" w:fill="FFFFFF" w:themeFill="background1"/>
            <w:vAlign w:val="center"/>
          </w:tcPr>
          <w:p w14:paraId="428F949D"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59.2</w:t>
            </w:r>
          </w:p>
        </w:tc>
        <w:tc>
          <w:tcPr>
            <w:tcW w:w="1134" w:type="dxa"/>
            <w:shd w:val="clear" w:color="auto" w:fill="FFFFFF" w:themeFill="background1"/>
            <w:vAlign w:val="center"/>
          </w:tcPr>
          <w:p w14:paraId="1945337D"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60.0-62.5</w:t>
            </w:r>
          </w:p>
        </w:tc>
        <w:tc>
          <w:tcPr>
            <w:tcW w:w="1418" w:type="dxa"/>
            <w:shd w:val="clear" w:color="auto" w:fill="auto"/>
            <w:vAlign w:val="center"/>
          </w:tcPr>
          <w:p w14:paraId="0366E542"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1.86 </w:t>
            </w:r>
          </w:p>
          <w:p w14:paraId="0ED4FDD5" w14:textId="62D0E826"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(1.40-2.46)</w:t>
            </w:r>
          </w:p>
        </w:tc>
        <w:tc>
          <w:tcPr>
            <w:tcW w:w="850" w:type="dxa"/>
            <w:vAlign w:val="center"/>
          </w:tcPr>
          <w:p w14:paraId="1C1A896E"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77.6</w:t>
            </w:r>
          </w:p>
        </w:tc>
        <w:tc>
          <w:tcPr>
            <w:tcW w:w="1276" w:type="dxa"/>
            <w:vAlign w:val="center"/>
          </w:tcPr>
          <w:p w14:paraId="41170B84"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70.1-85.1</w:t>
            </w:r>
          </w:p>
        </w:tc>
        <w:tc>
          <w:tcPr>
            <w:tcW w:w="851" w:type="dxa"/>
            <w:vAlign w:val="center"/>
          </w:tcPr>
          <w:p w14:paraId="2C219687"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57.2</w:t>
            </w:r>
          </w:p>
        </w:tc>
        <w:tc>
          <w:tcPr>
            <w:tcW w:w="1275" w:type="dxa"/>
            <w:vAlign w:val="center"/>
          </w:tcPr>
          <w:p w14:paraId="1F988F23"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53.3-61.2</w:t>
            </w:r>
          </w:p>
        </w:tc>
        <w:tc>
          <w:tcPr>
            <w:tcW w:w="1560" w:type="dxa"/>
            <w:vAlign w:val="center"/>
          </w:tcPr>
          <w:p w14:paraId="1A1944EE"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2.59</w:t>
            </w:r>
          </w:p>
          <w:p w14:paraId="3AB8003E" w14:textId="6D66C17A"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 (1.65-4.07)</w:t>
            </w:r>
          </w:p>
        </w:tc>
      </w:tr>
      <w:tr w:rsidR="002F0703" w:rsidRPr="005E1068" w14:paraId="12B707CA" w14:textId="77777777" w:rsidTr="00C528D3">
        <w:trPr>
          <w:jc w:val="center"/>
        </w:trPr>
        <w:tc>
          <w:tcPr>
            <w:tcW w:w="1975" w:type="dxa"/>
            <w:shd w:val="clear" w:color="auto" w:fill="auto"/>
            <w:vAlign w:val="center"/>
          </w:tcPr>
          <w:p w14:paraId="2A46FFE1" w14:textId="65224C28" w:rsidR="002F0703" w:rsidRPr="005E1068" w:rsidRDefault="00B919B8" w:rsidP="00247E05">
            <w:pPr>
              <w:rPr>
                <w:rFonts w:ascii="Times New Roman" w:hAnsi="Times New Roman"/>
                <w:bCs/>
                <w:sz w:val="20"/>
                <w:szCs w:val="20"/>
              </w:rPr>
            </w:pPr>
            <w:r w:rsidRPr="005E1068">
              <w:rPr>
                <w:rFonts w:ascii="Times New Roman" w:hAnsi="Times New Roman"/>
                <w:bCs/>
                <w:sz w:val="20"/>
              </w:rPr>
              <w:t>Almacenamiento de productos y equipos de fumigación en la vivienda</w:t>
            </w:r>
          </w:p>
        </w:tc>
        <w:tc>
          <w:tcPr>
            <w:tcW w:w="714" w:type="dxa"/>
            <w:shd w:val="clear" w:color="auto" w:fill="FFFFFF" w:themeFill="background1"/>
            <w:vAlign w:val="center"/>
          </w:tcPr>
          <w:p w14:paraId="00D316C3" w14:textId="77777777" w:rsidR="002F0703" w:rsidRPr="005E1068" w:rsidRDefault="002F0703" w:rsidP="00C528D3">
            <w:pPr>
              <w:spacing w:line="360" w:lineRule="auto"/>
              <w:rPr>
                <w:rFonts w:ascii="Times New Roman" w:hAnsi="Times New Roman"/>
                <w:sz w:val="20"/>
                <w:szCs w:val="20"/>
                <w:lang w:val="en-US"/>
              </w:rPr>
            </w:pPr>
            <w:r w:rsidRPr="005E1068">
              <w:rPr>
                <w:rFonts w:ascii="Times New Roman" w:hAnsi="Times New Roman"/>
                <w:sz w:val="20"/>
                <w:szCs w:val="20"/>
                <w:lang w:val="en-US"/>
              </w:rPr>
              <w:t>41.2</w:t>
            </w:r>
          </w:p>
        </w:tc>
        <w:tc>
          <w:tcPr>
            <w:tcW w:w="992" w:type="dxa"/>
            <w:shd w:val="clear" w:color="auto" w:fill="FFFFFF" w:themeFill="background1"/>
            <w:vAlign w:val="center"/>
          </w:tcPr>
          <w:p w14:paraId="3D1CD6E9"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35.1-47.3</w:t>
            </w:r>
          </w:p>
        </w:tc>
        <w:tc>
          <w:tcPr>
            <w:tcW w:w="850" w:type="dxa"/>
            <w:shd w:val="clear" w:color="auto" w:fill="FFFFFF" w:themeFill="background1"/>
            <w:vAlign w:val="center"/>
          </w:tcPr>
          <w:p w14:paraId="166D7899"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32.2</w:t>
            </w:r>
          </w:p>
        </w:tc>
        <w:tc>
          <w:tcPr>
            <w:tcW w:w="1134" w:type="dxa"/>
            <w:shd w:val="clear" w:color="auto" w:fill="FFFFFF" w:themeFill="background1"/>
            <w:vAlign w:val="center"/>
          </w:tcPr>
          <w:p w14:paraId="00B83D42"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28.8-35.5</w:t>
            </w:r>
          </w:p>
        </w:tc>
        <w:tc>
          <w:tcPr>
            <w:tcW w:w="1418" w:type="dxa"/>
            <w:shd w:val="clear" w:color="auto" w:fill="auto"/>
            <w:vAlign w:val="center"/>
          </w:tcPr>
          <w:p w14:paraId="19640D24"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1.48 </w:t>
            </w:r>
          </w:p>
          <w:p w14:paraId="3712BEE1" w14:textId="3FDCEC5A"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(1.15-1.90)</w:t>
            </w:r>
          </w:p>
        </w:tc>
        <w:tc>
          <w:tcPr>
            <w:tcW w:w="850" w:type="dxa"/>
            <w:vAlign w:val="center"/>
          </w:tcPr>
          <w:p w14:paraId="65319687"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47.5</w:t>
            </w:r>
          </w:p>
        </w:tc>
        <w:tc>
          <w:tcPr>
            <w:tcW w:w="1276" w:type="dxa"/>
            <w:vAlign w:val="center"/>
          </w:tcPr>
          <w:p w14:paraId="3A68A7B6"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38.3-56.7</w:t>
            </w:r>
          </w:p>
        </w:tc>
        <w:tc>
          <w:tcPr>
            <w:tcW w:w="851" w:type="dxa"/>
            <w:vAlign w:val="center"/>
          </w:tcPr>
          <w:p w14:paraId="5BF6D5D2"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35.0</w:t>
            </w:r>
          </w:p>
        </w:tc>
        <w:tc>
          <w:tcPr>
            <w:tcW w:w="1275" w:type="dxa"/>
            <w:vAlign w:val="center"/>
          </w:tcPr>
          <w:p w14:paraId="2775B7ED" w14:textId="77777777"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31.0-39.1</w:t>
            </w:r>
          </w:p>
        </w:tc>
        <w:tc>
          <w:tcPr>
            <w:tcW w:w="1560" w:type="dxa"/>
            <w:vAlign w:val="center"/>
          </w:tcPr>
          <w:p w14:paraId="4B2014D3" w14:textId="77777777" w:rsidR="00C528D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1.68</w:t>
            </w:r>
          </w:p>
          <w:p w14:paraId="6A1DC262" w14:textId="5FDA0C8B" w:rsidR="002F0703" w:rsidRPr="005E1068" w:rsidRDefault="002F0703" w:rsidP="00C528D3">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 (1.13-2.48)</w:t>
            </w:r>
          </w:p>
        </w:tc>
      </w:tr>
      <w:tr w:rsidR="002F0703" w:rsidRPr="005E1068" w14:paraId="09DEAE1C" w14:textId="77777777" w:rsidTr="00C528D3">
        <w:trPr>
          <w:jc w:val="center"/>
        </w:trPr>
        <w:tc>
          <w:tcPr>
            <w:tcW w:w="1975" w:type="dxa"/>
            <w:shd w:val="clear" w:color="auto" w:fill="auto"/>
            <w:vAlign w:val="center"/>
          </w:tcPr>
          <w:p w14:paraId="12B2903A" w14:textId="6F2DFB7D" w:rsidR="002F0703" w:rsidRPr="005E1068" w:rsidRDefault="00B919B8" w:rsidP="0062090C">
            <w:pPr>
              <w:rPr>
                <w:rFonts w:ascii="Times New Roman" w:hAnsi="Times New Roman"/>
                <w:bCs/>
                <w:sz w:val="20"/>
                <w:szCs w:val="20"/>
              </w:rPr>
            </w:pPr>
            <w:r w:rsidRPr="005E1068">
              <w:rPr>
                <w:rFonts w:ascii="Times New Roman" w:hAnsi="Times New Roman"/>
                <w:bCs/>
                <w:sz w:val="20"/>
              </w:rPr>
              <w:t xml:space="preserve">Exposición a fumigación aérea </w:t>
            </w:r>
            <w:r w:rsidR="00C528D3" w:rsidRPr="005E1068">
              <w:rPr>
                <w:rFonts w:ascii="Times New Roman" w:hAnsi="Times New Roman"/>
                <w:bCs/>
                <w:sz w:val="20"/>
              </w:rPr>
              <w:t xml:space="preserve">agroquímica </w:t>
            </w:r>
            <w:r w:rsidRPr="005E1068">
              <w:rPr>
                <w:rFonts w:ascii="Times New Roman" w:hAnsi="Times New Roman"/>
                <w:bCs/>
                <w:sz w:val="20"/>
              </w:rPr>
              <w:t>en su área de trabajo o residencia</w:t>
            </w:r>
          </w:p>
        </w:tc>
        <w:tc>
          <w:tcPr>
            <w:tcW w:w="714" w:type="dxa"/>
            <w:shd w:val="clear" w:color="auto" w:fill="FFFFFF" w:themeFill="background1"/>
            <w:vAlign w:val="center"/>
          </w:tcPr>
          <w:p w14:paraId="6753AB41" w14:textId="77777777" w:rsidR="002F0703" w:rsidRPr="005E1068" w:rsidRDefault="002F0703" w:rsidP="00C528D3">
            <w:pPr>
              <w:spacing w:line="360" w:lineRule="auto"/>
              <w:rPr>
                <w:rFonts w:ascii="Times New Roman" w:hAnsi="Times New Roman"/>
                <w:sz w:val="20"/>
                <w:szCs w:val="20"/>
                <w:lang w:val="en-US"/>
              </w:rPr>
            </w:pPr>
            <w:r w:rsidRPr="005E1068">
              <w:rPr>
                <w:rFonts w:ascii="Times New Roman" w:hAnsi="Times New Roman"/>
                <w:sz w:val="20"/>
                <w:szCs w:val="20"/>
                <w:lang w:val="en-US"/>
              </w:rPr>
              <w:t>14.4</w:t>
            </w:r>
          </w:p>
        </w:tc>
        <w:tc>
          <w:tcPr>
            <w:tcW w:w="992" w:type="dxa"/>
            <w:shd w:val="clear" w:color="auto" w:fill="FFFFFF" w:themeFill="background1"/>
            <w:vAlign w:val="center"/>
          </w:tcPr>
          <w:p w14:paraId="0FDDC092" w14:textId="77777777" w:rsidR="002F070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10.1-18.7</w:t>
            </w:r>
          </w:p>
        </w:tc>
        <w:tc>
          <w:tcPr>
            <w:tcW w:w="850" w:type="dxa"/>
            <w:shd w:val="clear" w:color="auto" w:fill="FFFFFF" w:themeFill="background1"/>
            <w:vAlign w:val="center"/>
          </w:tcPr>
          <w:p w14:paraId="4931605A" w14:textId="77777777" w:rsidR="002F070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6.0</w:t>
            </w:r>
          </w:p>
        </w:tc>
        <w:tc>
          <w:tcPr>
            <w:tcW w:w="1134" w:type="dxa"/>
            <w:shd w:val="clear" w:color="auto" w:fill="FFFFFF" w:themeFill="background1"/>
            <w:vAlign w:val="center"/>
          </w:tcPr>
          <w:p w14:paraId="064A4932" w14:textId="77777777" w:rsidR="002F070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4.4-7.5</w:t>
            </w:r>
          </w:p>
        </w:tc>
        <w:tc>
          <w:tcPr>
            <w:tcW w:w="1418" w:type="dxa"/>
            <w:shd w:val="clear" w:color="auto" w:fill="auto"/>
            <w:vAlign w:val="center"/>
          </w:tcPr>
          <w:p w14:paraId="4ACAA0B2" w14:textId="77777777" w:rsidR="00C528D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2.65</w:t>
            </w:r>
          </w:p>
          <w:p w14:paraId="6AE6B73D" w14:textId="4B5303EE" w:rsidR="002F0703" w:rsidRPr="005E1068" w:rsidRDefault="002F0703" w:rsidP="00C528D3">
            <w:pPr>
              <w:spacing w:line="360" w:lineRule="auto"/>
              <w:rPr>
                <w:rFonts w:ascii="Times New Roman" w:hAnsi="Times New Roman"/>
                <w:sz w:val="20"/>
                <w:szCs w:val="20"/>
                <w:lang w:val="en-US"/>
              </w:rPr>
            </w:pPr>
            <w:r w:rsidRPr="005E1068">
              <w:rPr>
                <w:rFonts w:ascii="Times New Roman" w:hAnsi="Times New Roman"/>
                <w:sz w:val="20"/>
                <w:szCs w:val="20"/>
                <w:lang w:val="en-US"/>
              </w:rPr>
              <w:t xml:space="preserve"> (1.98-3.56)</w:t>
            </w:r>
          </w:p>
        </w:tc>
        <w:tc>
          <w:tcPr>
            <w:tcW w:w="850" w:type="dxa"/>
            <w:vAlign w:val="center"/>
          </w:tcPr>
          <w:p w14:paraId="30108237" w14:textId="77777777" w:rsidR="002F070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15.0</w:t>
            </w:r>
          </w:p>
        </w:tc>
        <w:tc>
          <w:tcPr>
            <w:tcW w:w="1276" w:type="dxa"/>
            <w:vAlign w:val="center"/>
          </w:tcPr>
          <w:p w14:paraId="046056EB" w14:textId="77777777" w:rsidR="002F070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8.8-21.1</w:t>
            </w:r>
          </w:p>
        </w:tc>
        <w:tc>
          <w:tcPr>
            <w:tcW w:w="851" w:type="dxa"/>
            <w:vAlign w:val="center"/>
          </w:tcPr>
          <w:p w14:paraId="7EF32E2A" w14:textId="77777777" w:rsidR="002F070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5.5</w:t>
            </w:r>
          </w:p>
        </w:tc>
        <w:tc>
          <w:tcPr>
            <w:tcW w:w="1275" w:type="dxa"/>
            <w:vAlign w:val="center"/>
          </w:tcPr>
          <w:p w14:paraId="523EF552" w14:textId="77777777" w:rsidR="002F070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3.7-7.2</w:t>
            </w:r>
          </w:p>
        </w:tc>
        <w:tc>
          <w:tcPr>
            <w:tcW w:w="1560" w:type="dxa"/>
            <w:vAlign w:val="center"/>
          </w:tcPr>
          <w:p w14:paraId="7B183BE9" w14:textId="77777777" w:rsidR="00C528D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3.04</w:t>
            </w:r>
          </w:p>
          <w:p w14:paraId="54563290" w14:textId="1067D9B9" w:rsidR="002F0703" w:rsidRPr="005E1068" w:rsidRDefault="002F0703" w:rsidP="0062090C">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 xml:space="preserve"> (1.94-4.77)</w:t>
            </w:r>
          </w:p>
        </w:tc>
      </w:tr>
    </w:tbl>
    <w:p w14:paraId="119AEBEB" w14:textId="77777777" w:rsidR="002F0703" w:rsidRPr="005E1068" w:rsidRDefault="002F0703" w:rsidP="00772B81">
      <w:pPr>
        <w:spacing w:after="0" w:line="360" w:lineRule="auto"/>
        <w:jc w:val="both"/>
        <w:rPr>
          <w:rFonts w:ascii="Times New Roman" w:hAnsi="Times New Roman"/>
          <w:sz w:val="24"/>
          <w:szCs w:val="24"/>
          <w:lang w:val="en-US"/>
        </w:rPr>
        <w:sectPr w:rsidR="002F0703" w:rsidRPr="005E1068" w:rsidSect="002F0703">
          <w:footnotePr>
            <w:numFmt w:val="lowerRoman"/>
          </w:footnotePr>
          <w:endnotePr>
            <w:numFmt w:val="decimal"/>
          </w:endnotePr>
          <w:pgSz w:w="16838" w:h="11906" w:orient="landscape"/>
          <w:pgMar w:top="1701" w:right="1417" w:bottom="1701" w:left="1417" w:header="708" w:footer="708" w:gutter="0"/>
          <w:cols w:space="708"/>
          <w:docGrid w:linePitch="360"/>
        </w:sectPr>
      </w:pPr>
    </w:p>
    <w:p w14:paraId="7EB92502" w14:textId="4092A52C" w:rsidR="0010153C" w:rsidRPr="005E1068" w:rsidRDefault="0010153C" w:rsidP="00695F35">
      <w:pPr>
        <w:spacing w:after="0" w:line="240" w:lineRule="auto"/>
        <w:jc w:val="both"/>
        <w:rPr>
          <w:rFonts w:ascii="Times New Roman" w:hAnsi="Times New Roman"/>
          <w:sz w:val="24"/>
          <w:szCs w:val="24"/>
        </w:rPr>
      </w:pPr>
      <w:r w:rsidRPr="005E1068">
        <w:rPr>
          <w:rFonts w:ascii="Times New Roman" w:hAnsi="Times New Roman"/>
          <w:sz w:val="24"/>
          <w:szCs w:val="24"/>
        </w:rPr>
        <w:lastRenderedPageBreak/>
        <w:t xml:space="preserve">Tabla 2. Medias y diferencias para los años de exposición a agroquímicos y a condiciones asociadas a ellos </w:t>
      </w:r>
      <w:r w:rsidR="00695F35" w:rsidRPr="005E1068">
        <w:rPr>
          <w:rFonts w:ascii="Times New Roman" w:hAnsi="Times New Roman"/>
          <w:sz w:val="24"/>
          <w:szCs w:val="24"/>
        </w:rPr>
        <w:t>a largo de su</w:t>
      </w:r>
      <w:r w:rsidRPr="005E1068">
        <w:rPr>
          <w:rFonts w:ascii="Times New Roman" w:hAnsi="Times New Roman"/>
          <w:sz w:val="24"/>
          <w:szCs w:val="24"/>
        </w:rPr>
        <w:t xml:space="preserve"> vida, con respecto a padecer ERC, en la población adulta de El Salvador y en quienes no padecen diabetes ni hipertensión arterial. ENECA-ELS 2015.</w:t>
      </w:r>
    </w:p>
    <w:p w14:paraId="6DE71BB2" w14:textId="578AB11A" w:rsidR="007332C8" w:rsidRPr="005E1068" w:rsidRDefault="007332C8" w:rsidP="0010153C">
      <w:pPr>
        <w:spacing w:after="0" w:line="360" w:lineRule="auto"/>
        <w:rPr>
          <w:rFonts w:ascii="Times New Roman" w:hAnsi="Times New Roman"/>
          <w:sz w:val="24"/>
          <w:szCs w:val="24"/>
        </w:rPr>
      </w:pPr>
    </w:p>
    <w:tbl>
      <w:tblPr>
        <w:tblStyle w:val="Tablaconcuadrcula"/>
        <w:tblW w:w="14485" w:type="dxa"/>
        <w:jc w:val="center"/>
        <w:tblLayout w:type="fixed"/>
        <w:tblLook w:val="04A0" w:firstRow="1" w:lastRow="0" w:firstColumn="1" w:lastColumn="0" w:noHBand="0" w:noVBand="1"/>
      </w:tblPr>
      <w:tblGrid>
        <w:gridCol w:w="1696"/>
        <w:gridCol w:w="909"/>
        <w:gridCol w:w="1170"/>
        <w:gridCol w:w="898"/>
        <w:gridCol w:w="1238"/>
        <w:gridCol w:w="1314"/>
        <w:gridCol w:w="960"/>
        <w:gridCol w:w="990"/>
        <w:gridCol w:w="1170"/>
        <w:gridCol w:w="900"/>
        <w:gridCol w:w="1056"/>
        <w:gridCol w:w="1170"/>
        <w:gridCol w:w="132"/>
        <w:gridCol w:w="882"/>
      </w:tblGrid>
      <w:tr w:rsidR="00C528D3" w:rsidRPr="005E1068" w14:paraId="7306202F" w14:textId="77777777" w:rsidTr="00247E05">
        <w:trPr>
          <w:jc w:val="center"/>
        </w:trPr>
        <w:tc>
          <w:tcPr>
            <w:tcW w:w="1696" w:type="dxa"/>
            <w:vMerge w:val="restart"/>
            <w:shd w:val="clear" w:color="auto" w:fill="auto"/>
            <w:vAlign w:val="center"/>
          </w:tcPr>
          <w:p w14:paraId="561E634A" w14:textId="6BD06983" w:rsidR="00C528D3" w:rsidRPr="005E1068" w:rsidRDefault="00C528D3" w:rsidP="00247E05">
            <w:pPr>
              <w:spacing w:line="276" w:lineRule="auto"/>
              <w:jc w:val="center"/>
              <w:rPr>
                <w:rFonts w:ascii="Times New Roman" w:hAnsi="Times New Roman"/>
                <w:bCs/>
                <w:sz w:val="20"/>
              </w:rPr>
            </w:pPr>
            <w:r w:rsidRPr="005E1068">
              <w:rPr>
                <w:rFonts w:ascii="Times New Roman" w:hAnsi="Times New Roman"/>
                <w:sz w:val="24"/>
                <w:szCs w:val="24"/>
              </w:rPr>
              <w:t xml:space="preserve">Variables para las que se midieron tiempos de </w:t>
            </w:r>
            <w:r w:rsidRPr="005E1068">
              <w:rPr>
                <w:rFonts w:ascii="Times New Roman" w:hAnsi="Times New Roman"/>
                <w:bCs/>
                <w:sz w:val="24"/>
                <w:szCs w:val="24"/>
              </w:rPr>
              <w:t>exposición</w:t>
            </w:r>
          </w:p>
        </w:tc>
        <w:tc>
          <w:tcPr>
            <w:tcW w:w="6489" w:type="dxa"/>
            <w:gridSpan w:val="6"/>
            <w:shd w:val="clear" w:color="auto" w:fill="E5B8B7" w:themeFill="accent2" w:themeFillTint="66"/>
            <w:vAlign w:val="center"/>
          </w:tcPr>
          <w:p w14:paraId="66D3EFD0" w14:textId="1B17B308" w:rsidR="00C528D3" w:rsidRPr="005E1068" w:rsidRDefault="00C528D3" w:rsidP="00247E05">
            <w:pPr>
              <w:spacing w:line="360" w:lineRule="auto"/>
              <w:jc w:val="center"/>
              <w:rPr>
                <w:rFonts w:ascii="Times New Roman" w:hAnsi="Times New Roman"/>
                <w:sz w:val="20"/>
                <w:szCs w:val="20"/>
                <w:lang w:val="en-US"/>
              </w:rPr>
            </w:pPr>
            <w:proofErr w:type="spellStart"/>
            <w:r w:rsidRPr="005E1068">
              <w:rPr>
                <w:rFonts w:ascii="Times New Roman" w:hAnsi="Times New Roman"/>
                <w:sz w:val="20"/>
                <w:szCs w:val="20"/>
                <w:lang w:val="en-US"/>
              </w:rPr>
              <w:t>Población</w:t>
            </w:r>
            <w:proofErr w:type="spellEnd"/>
            <w:r w:rsidRPr="005E1068">
              <w:rPr>
                <w:rFonts w:ascii="Times New Roman" w:hAnsi="Times New Roman"/>
                <w:sz w:val="20"/>
                <w:szCs w:val="20"/>
                <w:lang w:val="en-US"/>
              </w:rPr>
              <w:t xml:space="preserve"> total</w:t>
            </w:r>
          </w:p>
        </w:tc>
        <w:tc>
          <w:tcPr>
            <w:tcW w:w="6300" w:type="dxa"/>
            <w:gridSpan w:val="7"/>
            <w:shd w:val="clear" w:color="auto" w:fill="E5B8B7" w:themeFill="accent2" w:themeFillTint="66"/>
            <w:vAlign w:val="center"/>
          </w:tcPr>
          <w:p w14:paraId="0A04BE53" w14:textId="773C0967" w:rsidR="00C528D3" w:rsidRPr="005E1068" w:rsidRDefault="00C528D3" w:rsidP="00247E05">
            <w:pPr>
              <w:spacing w:line="360" w:lineRule="auto"/>
              <w:jc w:val="center"/>
              <w:rPr>
                <w:rFonts w:ascii="Times New Roman" w:hAnsi="Times New Roman"/>
                <w:sz w:val="20"/>
                <w:szCs w:val="20"/>
              </w:rPr>
            </w:pPr>
            <w:r w:rsidRPr="005E1068">
              <w:rPr>
                <w:rFonts w:ascii="Times New Roman" w:hAnsi="Times New Roman"/>
                <w:sz w:val="20"/>
                <w:szCs w:val="20"/>
              </w:rPr>
              <w:t>Personas que no padecían diabetes ni hipertensión arterial</w:t>
            </w:r>
          </w:p>
        </w:tc>
      </w:tr>
      <w:tr w:rsidR="00C528D3" w:rsidRPr="005E1068" w14:paraId="67006219" w14:textId="77777777" w:rsidTr="00247E05">
        <w:trPr>
          <w:jc w:val="center"/>
        </w:trPr>
        <w:tc>
          <w:tcPr>
            <w:tcW w:w="1696" w:type="dxa"/>
            <w:vMerge/>
            <w:shd w:val="clear" w:color="auto" w:fill="auto"/>
            <w:vAlign w:val="center"/>
          </w:tcPr>
          <w:p w14:paraId="4D0DA774" w14:textId="77777777" w:rsidR="00C528D3" w:rsidRPr="005E1068" w:rsidRDefault="00C528D3" w:rsidP="00247E05">
            <w:pPr>
              <w:spacing w:line="360" w:lineRule="auto"/>
              <w:jc w:val="center"/>
              <w:rPr>
                <w:rFonts w:ascii="Times New Roman" w:hAnsi="Times New Roman"/>
                <w:b/>
                <w:sz w:val="20"/>
                <w:szCs w:val="20"/>
              </w:rPr>
            </w:pPr>
          </w:p>
        </w:tc>
        <w:tc>
          <w:tcPr>
            <w:tcW w:w="2079" w:type="dxa"/>
            <w:gridSpan w:val="2"/>
            <w:shd w:val="clear" w:color="auto" w:fill="auto"/>
            <w:vAlign w:val="center"/>
          </w:tcPr>
          <w:p w14:paraId="1FDDFB10" w14:textId="64BDF5D8"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ERC</w:t>
            </w:r>
          </w:p>
        </w:tc>
        <w:tc>
          <w:tcPr>
            <w:tcW w:w="2136" w:type="dxa"/>
            <w:gridSpan w:val="2"/>
            <w:shd w:val="clear" w:color="auto" w:fill="auto"/>
            <w:vAlign w:val="center"/>
          </w:tcPr>
          <w:p w14:paraId="21F55A33" w14:textId="5582BED9"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No ERC</w:t>
            </w:r>
          </w:p>
        </w:tc>
        <w:tc>
          <w:tcPr>
            <w:tcW w:w="1314" w:type="dxa"/>
            <w:vMerge w:val="restart"/>
            <w:shd w:val="clear" w:color="auto" w:fill="auto"/>
            <w:vAlign w:val="center"/>
          </w:tcPr>
          <w:p w14:paraId="5C9211A5" w14:textId="704B7F39" w:rsidR="00C528D3" w:rsidRPr="005E1068" w:rsidRDefault="00C528D3" w:rsidP="00247E05">
            <w:pPr>
              <w:spacing w:line="360" w:lineRule="auto"/>
              <w:jc w:val="center"/>
              <w:rPr>
                <w:rFonts w:ascii="Times New Roman" w:hAnsi="Times New Roman"/>
                <w:b/>
                <w:sz w:val="20"/>
                <w:szCs w:val="20"/>
                <w:lang w:val="en-US"/>
              </w:rPr>
            </w:pPr>
            <w:proofErr w:type="spellStart"/>
            <w:r w:rsidRPr="005E1068">
              <w:rPr>
                <w:rFonts w:ascii="Times New Roman" w:hAnsi="Times New Roman"/>
                <w:b/>
                <w:sz w:val="20"/>
                <w:szCs w:val="20"/>
                <w:lang w:val="en-US"/>
              </w:rPr>
              <w:t>Diferencia</w:t>
            </w:r>
            <w:proofErr w:type="spellEnd"/>
            <w:r w:rsidRPr="005E1068">
              <w:rPr>
                <w:rFonts w:ascii="Times New Roman" w:hAnsi="Times New Roman"/>
                <w:b/>
                <w:sz w:val="20"/>
                <w:szCs w:val="20"/>
                <w:lang w:val="en-US"/>
              </w:rPr>
              <w:t xml:space="preserve"> de medias</w:t>
            </w:r>
          </w:p>
        </w:tc>
        <w:tc>
          <w:tcPr>
            <w:tcW w:w="960" w:type="dxa"/>
            <w:vMerge w:val="restart"/>
            <w:shd w:val="clear" w:color="auto" w:fill="auto"/>
            <w:vAlign w:val="center"/>
          </w:tcPr>
          <w:p w14:paraId="6ABBCCD7" w14:textId="3667ADA1" w:rsidR="00C528D3" w:rsidRPr="005E1068" w:rsidRDefault="00ED5F9D"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(IC 95%)</w:t>
            </w:r>
          </w:p>
        </w:tc>
        <w:tc>
          <w:tcPr>
            <w:tcW w:w="2160" w:type="dxa"/>
            <w:gridSpan w:val="2"/>
            <w:vAlign w:val="center"/>
          </w:tcPr>
          <w:p w14:paraId="41AE5582" w14:textId="7FA63C46" w:rsidR="00C528D3" w:rsidRPr="005E1068" w:rsidRDefault="00C528D3" w:rsidP="00247E05">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ERC</w:t>
            </w:r>
          </w:p>
        </w:tc>
        <w:tc>
          <w:tcPr>
            <w:tcW w:w="1956" w:type="dxa"/>
            <w:gridSpan w:val="2"/>
            <w:vAlign w:val="center"/>
          </w:tcPr>
          <w:p w14:paraId="58132A4D" w14:textId="265785AC" w:rsidR="00C528D3" w:rsidRPr="005E1068" w:rsidRDefault="00C528D3" w:rsidP="00247E05">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No ERC</w:t>
            </w:r>
          </w:p>
        </w:tc>
        <w:tc>
          <w:tcPr>
            <w:tcW w:w="1302" w:type="dxa"/>
            <w:gridSpan w:val="2"/>
            <w:vMerge w:val="restart"/>
            <w:vAlign w:val="center"/>
          </w:tcPr>
          <w:p w14:paraId="724AB026" w14:textId="171BC5DF" w:rsidR="00C528D3" w:rsidRPr="005E1068" w:rsidRDefault="00C528D3" w:rsidP="00247E05">
            <w:pPr>
              <w:spacing w:line="360" w:lineRule="auto"/>
              <w:jc w:val="center"/>
              <w:rPr>
                <w:rFonts w:ascii="Times New Roman" w:hAnsi="Times New Roman"/>
                <w:sz w:val="20"/>
                <w:szCs w:val="20"/>
                <w:lang w:val="en-US"/>
              </w:rPr>
            </w:pPr>
            <w:proofErr w:type="spellStart"/>
            <w:r w:rsidRPr="005E1068">
              <w:rPr>
                <w:rFonts w:ascii="Times New Roman" w:hAnsi="Times New Roman"/>
                <w:b/>
                <w:sz w:val="20"/>
                <w:szCs w:val="20"/>
                <w:lang w:val="en-US"/>
              </w:rPr>
              <w:t>Diferencia</w:t>
            </w:r>
            <w:proofErr w:type="spellEnd"/>
            <w:r w:rsidRPr="005E1068">
              <w:rPr>
                <w:rFonts w:ascii="Times New Roman" w:hAnsi="Times New Roman"/>
                <w:b/>
                <w:sz w:val="20"/>
                <w:szCs w:val="20"/>
                <w:lang w:val="en-US"/>
              </w:rPr>
              <w:t xml:space="preserve"> de medias</w:t>
            </w:r>
          </w:p>
        </w:tc>
        <w:tc>
          <w:tcPr>
            <w:tcW w:w="882" w:type="dxa"/>
            <w:vMerge w:val="restart"/>
            <w:vAlign w:val="center"/>
          </w:tcPr>
          <w:p w14:paraId="36549C63" w14:textId="51CEB9A0" w:rsidR="00C528D3" w:rsidRPr="005E1068" w:rsidRDefault="00247E05" w:rsidP="00247E05">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(IC 95%)</w:t>
            </w:r>
          </w:p>
        </w:tc>
      </w:tr>
      <w:tr w:rsidR="00C528D3" w:rsidRPr="005E1068" w14:paraId="163ED0FB" w14:textId="77777777" w:rsidTr="00247E05">
        <w:trPr>
          <w:jc w:val="center"/>
        </w:trPr>
        <w:tc>
          <w:tcPr>
            <w:tcW w:w="1696" w:type="dxa"/>
            <w:vMerge/>
            <w:shd w:val="clear" w:color="auto" w:fill="auto"/>
            <w:vAlign w:val="center"/>
          </w:tcPr>
          <w:p w14:paraId="14C034A6" w14:textId="77777777" w:rsidR="00C528D3" w:rsidRPr="005E1068" w:rsidRDefault="00C528D3" w:rsidP="00247E05">
            <w:pPr>
              <w:spacing w:line="360" w:lineRule="auto"/>
              <w:jc w:val="center"/>
              <w:rPr>
                <w:rFonts w:ascii="Times New Roman" w:hAnsi="Times New Roman"/>
                <w:b/>
                <w:sz w:val="20"/>
                <w:szCs w:val="20"/>
                <w:lang w:val="en-US"/>
              </w:rPr>
            </w:pPr>
          </w:p>
        </w:tc>
        <w:tc>
          <w:tcPr>
            <w:tcW w:w="909" w:type="dxa"/>
            <w:tcBorders>
              <w:bottom w:val="single" w:sz="4" w:space="0" w:color="auto"/>
            </w:tcBorders>
            <w:shd w:val="clear" w:color="auto" w:fill="auto"/>
            <w:vAlign w:val="center"/>
          </w:tcPr>
          <w:p w14:paraId="2CB0766F" w14:textId="079E354C"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Media</w:t>
            </w:r>
          </w:p>
        </w:tc>
        <w:tc>
          <w:tcPr>
            <w:tcW w:w="1170" w:type="dxa"/>
            <w:tcBorders>
              <w:bottom w:val="single" w:sz="4" w:space="0" w:color="auto"/>
            </w:tcBorders>
            <w:shd w:val="clear" w:color="auto" w:fill="auto"/>
            <w:vAlign w:val="center"/>
          </w:tcPr>
          <w:p w14:paraId="08BC47A9" w14:textId="73013650" w:rsidR="00C528D3" w:rsidRPr="005E1068" w:rsidRDefault="00ED5F9D"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(IC 95%)</w:t>
            </w:r>
          </w:p>
        </w:tc>
        <w:tc>
          <w:tcPr>
            <w:tcW w:w="898" w:type="dxa"/>
            <w:tcBorders>
              <w:bottom w:val="single" w:sz="4" w:space="0" w:color="auto"/>
            </w:tcBorders>
            <w:shd w:val="clear" w:color="auto" w:fill="auto"/>
            <w:vAlign w:val="center"/>
          </w:tcPr>
          <w:p w14:paraId="3A15CEE0" w14:textId="47D503CB"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Media</w:t>
            </w:r>
          </w:p>
        </w:tc>
        <w:tc>
          <w:tcPr>
            <w:tcW w:w="1238" w:type="dxa"/>
            <w:tcBorders>
              <w:bottom w:val="single" w:sz="4" w:space="0" w:color="auto"/>
            </w:tcBorders>
            <w:shd w:val="clear" w:color="auto" w:fill="auto"/>
            <w:vAlign w:val="center"/>
          </w:tcPr>
          <w:p w14:paraId="71AE2EDB" w14:textId="44963C77" w:rsidR="00C528D3" w:rsidRPr="005E1068" w:rsidRDefault="00ED5F9D"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(IC 95%)</w:t>
            </w:r>
          </w:p>
        </w:tc>
        <w:tc>
          <w:tcPr>
            <w:tcW w:w="1314" w:type="dxa"/>
            <w:vMerge/>
            <w:tcBorders>
              <w:bottom w:val="single" w:sz="4" w:space="0" w:color="auto"/>
            </w:tcBorders>
            <w:shd w:val="clear" w:color="auto" w:fill="auto"/>
            <w:vAlign w:val="center"/>
          </w:tcPr>
          <w:p w14:paraId="42486C56" w14:textId="77777777" w:rsidR="00C528D3" w:rsidRPr="005E1068" w:rsidRDefault="00C528D3" w:rsidP="00247E05">
            <w:pPr>
              <w:spacing w:line="360" w:lineRule="auto"/>
              <w:jc w:val="center"/>
              <w:rPr>
                <w:rFonts w:ascii="Times New Roman" w:hAnsi="Times New Roman"/>
                <w:b/>
                <w:sz w:val="20"/>
                <w:szCs w:val="20"/>
                <w:lang w:val="en-US"/>
              </w:rPr>
            </w:pPr>
          </w:p>
        </w:tc>
        <w:tc>
          <w:tcPr>
            <w:tcW w:w="960" w:type="dxa"/>
            <w:vMerge/>
            <w:tcBorders>
              <w:bottom w:val="single" w:sz="4" w:space="0" w:color="auto"/>
            </w:tcBorders>
            <w:shd w:val="clear" w:color="auto" w:fill="auto"/>
            <w:vAlign w:val="center"/>
          </w:tcPr>
          <w:p w14:paraId="6F7104EB" w14:textId="77777777" w:rsidR="00C528D3" w:rsidRPr="005E1068" w:rsidRDefault="00C528D3" w:rsidP="00247E05">
            <w:pPr>
              <w:spacing w:line="360" w:lineRule="auto"/>
              <w:jc w:val="center"/>
              <w:rPr>
                <w:rFonts w:ascii="Times New Roman" w:hAnsi="Times New Roman"/>
                <w:b/>
                <w:sz w:val="20"/>
                <w:szCs w:val="20"/>
                <w:lang w:val="en-US"/>
              </w:rPr>
            </w:pPr>
          </w:p>
        </w:tc>
        <w:tc>
          <w:tcPr>
            <w:tcW w:w="990" w:type="dxa"/>
            <w:tcBorders>
              <w:bottom w:val="single" w:sz="4" w:space="0" w:color="auto"/>
            </w:tcBorders>
            <w:vAlign w:val="center"/>
          </w:tcPr>
          <w:p w14:paraId="5DD697DE" w14:textId="46206B18"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Media</w:t>
            </w:r>
          </w:p>
        </w:tc>
        <w:tc>
          <w:tcPr>
            <w:tcW w:w="1170" w:type="dxa"/>
            <w:tcBorders>
              <w:bottom w:val="single" w:sz="4" w:space="0" w:color="auto"/>
            </w:tcBorders>
            <w:vAlign w:val="center"/>
          </w:tcPr>
          <w:p w14:paraId="0C8CFA17" w14:textId="7C002064" w:rsidR="00C528D3" w:rsidRPr="005E1068" w:rsidRDefault="00247E05"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(IC 95%)</w:t>
            </w:r>
          </w:p>
        </w:tc>
        <w:tc>
          <w:tcPr>
            <w:tcW w:w="900" w:type="dxa"/>
            <w:tcBorders>
              <w:bottom w:val="single" w:sz="4" w:space="0" w:color="auto"/>
            </w:tcBorders>
            <w:vAlign w:val="center"/>
          </w:tcPr>
          <w:p w14:paraId="1763010D" w14:textId="633EEEDB"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Media</w:t>
            </w:r>
          </w:p>
        </w:tc>
        <w:tc>
          <w:tcPr>
            <w:tcW w:w="1056" w:type="dxa"/>
            <w:tcBorders>
              <w:bottom w:val="single" w:sz="4" w:space="0" w:color="auto"/>
            </w:tcBorders>
            <w:vAlign w:val="center"/>
          </w:tcPr>
          <w:p w14:paraId="4C2C0825" w14:textId="3E259456" w:rsidR="00C528D3" w:rsidRPr="005E1068" w:rsidRDefault="00247E05"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(IC 95%)</w:t>
            </w:r>
          </w:p>
        </w:tc>
        <w:tc>
          <w:tcPr>
            <w:tcW w:w="1302" w:type="dxa"/>
            <w:gridSpan w:val="2"/>
            <w:vMerge/>
            <w:tcBorders>
              <w:bottom w:val="single" w:sz="4" w:space="0" w:color="auto"/>
            </w:tcBorders>
            <w:vAlign w:val="center"/>
          </w:tcPr>
          <w:p w14:paraId="504144AA" w14:textId="77777777" w:rsidR="00C528D3" w:rsidRPr="005E1068" w:rsidRDefault="00C528D3" w:rsidP="00247E05">
            <w:pPr>
              <w:spacing w:line="360" w:lineRule="auto"/>
              <w:jc w:val="center"/>
              <w:rPr>
                <w:rFonts w:ascii="Times New Roman" w:hAnsi="Times New Roman"/>
                <w:b/>
                <w:sz w:val="20"/>
                <w:szCs w:val="20"/>
                <w:lang w:val="en-US"/>
              </w:rPr>
            </w:pPr>
          </w:p>
        </w:tc>
        <w:tc>
          <w:tcPr>
            <w:tcW w:w="882" w:type="dxa"/>
            <w:vMerge/>
            <w:tcBorders>
              <w:bottom w:val="single" w:sz="4" w:space="0" w:color="auto"/>
            </w:tcBorders>
            <w:vAlign w:val="center"/>
          </w:tcPr>
          <w:p w14:paraId="72F403B3" w14:textId="77777777" w:rsidR="00C528D3" w:rsidRPr="005E1068" w:rsidRDefault="00C528D3" w:rsidP="00247E05">
            <w:pPr>
              <w:spacing w:line="360" w:lineRule="auto"/>
              <w:jc w:val="center"/>
              <w:rPr>
                <w:rFonts w:ascii="Times New Roman" w:hAnsi="Times New Roman"/>
                <w:b/>
                <w:sz w:val="20"/>
                <w:szCs w:val="20"/>
                <w:lang w:val="en-US"/>
              </w:rPr>
            </w:pPr>
          </w:p>
        </w:tc>
      </w:tr>
      <w:tr w:rsidR="00C528D3" w:rsidRPr="005E1068" w14:paraId="7E815EC8" w14:textId="77777777" w:rsidTr="00247E05">
        <w:trPr>
          <w:jc w:val="center"/>
        </w:trPr>
        <w:tc>
          <w:tcPr>
            <w:tcW w:w="14485" w:type="dxa"/>
            <w:gridSpan w:val="14"/>
            <w:shd w:val="clear" w:color="auto" w:fill="E5B8B7" w:themeFill="accent2" w:themeFillTint="66"/>
            <w:vAlign w:val="center"/>
          </w:tcPr>
          <w:p w14:paraId="02E3F6D8" w14:textId="3005A8FD" w:rsidR="00C528D3" w:rsidRPr="005E1068" w:rsidRDefault="00ED5F9D" w:rsidP="00247E05">
            <w:pPr>
              <w:spacing w:line="360" w:lineRule="auto"/>
              <w:jc w:val="center"/>
              <w:rPr>
                <w:rFonts w:ascii="Times New Roman" w:hAnsi="Times New Roman"/>
                <w:sz w:val="20"/>
                <w:lang w:val="en-US"/>
              </w:rPr>
            </w:pPr>
            <w:proofErr w:type="spellStart"/>
            <w:r w:rsidRPr="005E1068">
              <w:rPr>
                <w:rFonts w:ascii="Times New Roman" w:hAnsi="Times New Roman"/>
                <w:sz w:val="20"/>
                <w:szCs w:val="20"/>
                <w:lang w:val="en-US"/>
              </w:rPr>
              <w:t>Exposición</w:t>
            </w:r>
            <w:proofErr w:type="spellEnd"/>
            <w:r w:rsidRPr="005E1068">
              <w:rPr>
                <w:rFonts w:ascii="Times New Roman" w:hAnsi="Times New Roman"/>
                <w:sz w:val="20"/>
                <w:szCs w:val="20"/>
                <w:lang w:val="en-US"/>
              </w:rPr>
              <w:t xml:space="preserve"> </w:t>
            </w:r>
            <w:proofErr w:type="spellStart"/>
            <w:r w:rsidRPr="005E1068">
              <w:rPr>
                <w:rFonts w:ascii="Times New Roman" w:hAnsi="Times New Roman"/>
                <w:sz w:val="20"/>
                <w:szCs w:val="20"/>
                <w:lang w:val="en-US"/>
              </w:rPr>
              <w:t>pasada</w:t>
            </w:r>
            <w:proofErr w:type="spellEnd"/>
            <w:r w:rsidRPr="005E1068">
              <w:rPr>
                <w:rFonts w:ascii="Times New Roman" w:hAnsi="Times New Roman"/>
                <w:sz w:val="20"/>
                <w:szCs w:val="20"/>
                <w:lang w:val="en-US"/>
              </w:rPr>
              <w:t xml:space="preserve"> a </w:t>
            </w:r>
            <w:proofErr w:type="spellStart"/>
            <w:r w:rsidRPr="005E1068">
              <w:rPr>
                <w:rFonts w:ascii="Times New Roman" w:hAnsi="Times New Roman"/>
                <w:sz w:val="20"/>
                <w:szCs w:val="20"/>
                <w:lang w:val="en-US"/>
              </w:rPr>
              <w:t>agroquímicos</w:t>
            </w:r>
            <w:proofErr w:type="spellEnd"/>
          </w:p>
        </w:tc>
      </w:tr>
      <w:tr w:rsidR="00C528D3" w:rsidRPr="005E1068" w14:paraId="118E24F5" w14:textId="77777777" w:rsidTr="00247E05">
        <w:trPr>
          <w:jc w:val="center"/>
        </w:trPr>
        <w:tc>
          <w:tcPr>
            <w:tcW w:w="1696" w:type="dxa"/>
            <w:shd w:val="clear" w:color="auto" w:fill="auto"/>
            <w:vAlign w:val="center"/>
          </w:tcPr>
          <w:p w14:paraId="441E2634" w14:textId="20B746A6" w:rsidR="00C528D3" w:rsidRPr="005E1068" w:rsidRDefault="00ED5F9D" w:rsidP="00247E05">
            <w:pPr>
              <w:jc w:val="center"/>
              <w:rPr>
                <w:rFonts w:ascii="Times New Roman" w:hAnsi="Times New Roman"/>
                <w:bCs/>
                <w:sz w:val="20"/>
              </w:rPr>
            </w:pPr>
            <w:r w:rsidRPr="005E1068">
              <w:rPr>
                <w:rFonts w:ascii="Times New Roman" w:hAnsi="Times New Roman"/>
                <w:bCs/>
                <w:sz w:val="20"/>
                <w:szCs w:val="20"/>
              </w:rPr>
              <w:t>Manipulación de algún tipo de agroquímicos</w:t>
            </w:r>
          </w:p>
        </w:tc>
        <w:tc>
          <w:tcPr>
            <w:tcW w:w="909" w:type="dxa"/>
            <w:tcBorders>
              <w:bottom w:val="single" w:sz="4" w:space="0" w:color="auto"/>
            </w:tcBorders>
            <w:shd w:val="clear" w:color="auto" w:fill="auto"/>
            <w:vAlign w:val="center"/>
          </w:tcPr>
          <w:p w14:paraId="53AC79EC" w14:textId="77777777"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4.64</w:t>
            </w:r>
          </w:p>
        </w:tc>
        <w:tc>
          <w:tcPr>
            <w:tcW w:w="1170" w:type="dxa"/>
            <w:tcBorders>
              <w:bottom w:val="single" w:sz="4" w:space="0" w:color="auto"/>
            </w:tcBorders>
            <w:shd w:val="clear" w:color="auto" w:fill="auto"/>
            <w:vAlign w:val="center"/>
          </w:tcPr>
          <w:p w14:paraId="1ACE3531"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3.60-5.67</w:t>
            </w:r>
          </w:p>
        </w:tc>
        <w:tc>
          <w:tcPr>
            <w:tcW w:w="898" w:type="dxa"/>
            <w:tcBorders>
              <w:bottom w:val="single" w:sz="4" w:space="0" w:color="auto"/>
            </w:tcBorders>
            <w:shd w:val="clear" w:color="auto" w:fill="auto"/>
            <w:vAlign w:val="center"/>
          </w:tcPr>
          <w:p w14:paraId="73DB6633"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1.55</w:t>
            </w:r>
          </w:p>
        </w:tc>
        <w:tc>
          <w:tcPr>
            <w:tcW w:w="1238" w:type="dxa"/>
            <w:tcBorders>
              <w:bottom w:val="single" w:sz="4" w:space="0" w:color="auto"/>
            </w:tcBorders>
            <w:shd w:val="clear" w:color="auto" w:fill="auto"/>
            <w:vAlign w:val="center"/>
          </w:tcPr>
          <w:p w14:paraId="42ECA4B8"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1.32-1.79</w:t>
            </w:r>
          </w:p>
        </w:tc>
        <w:tc>
          <w:tcPr>
            <w:tcW w:w="1314" w:type="dxa"/>
            <w:tcBorders>
              <w:bottom w:val="single" w:sz="4" w:space="0" w:color="auto"/>
            </w:tcBorders>
            <w:shd w:val="clear" w:color="auto" w:fill="auto"/>
            <w:vAlign w:val="center"/>
          </w:tcPr>
          <w:p w14:paraId="0B77F9CB"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3.09</w:t>
            </w:r>
          </w:p>
        </w:tc>
        <w:tc>
          <w:tcPr>
            <w:tcW w:w="960" w:type="dxa"/>
            <w:tcBorders>
              <w:bottom w:val="single" w:sz="4" w:space="0" w:color="auto"/>
            </w:tcBorders>
            <w:shd w:val="clear" w:color="auto" w:fill="auto"/>
            <w:vAlign w:val="center"/>
          </w:tcPr>
          <w:p w14:paraId="14B69726"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3.04-3.14</w:t>
            </w:r>
          </w:p>
        </w:tc>
        <w:tc>
          <w:tcPr>
            <w:tcW w:w="990" w:type="dxa"/>
            <w:tcBorders>
              <w:bottom w:val="single" w:sz="4" w:space="0" w:color="auto"/>
            </w:tcBorders>
            <w:vAlign w:val="center"/>
          </w:tcPr>
          <w:p w14:paraId="3BD13B56"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3.96</w:t>
            </w:r>
          </w:p>
        </w:tc>
        <w:tc>
          <w:tcPr>
            <w:tcW w:w="1170" w:type="dxa"/>
            <w:tcBorders>
              <w:bottom w:val="single" w:sz="4" w:space="0" w:color="auto"/>
            </w:tcBorders>
            <w:vAlign w:val="center"/>
          </w:tcPr>
          <w:p w14:paraId="64DE245D"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2.21-5.71</w:t>
            </w:r>
          </w:p>
        </w:tc>
        <w:tc>
          <w:tcPr>
            <w:tcW w:w="900" w:type="dxa"/>
            <w:tcBorders>
              <w:bottom w:val="single" w:sz="4" w:space="0" w:color="auto"/>
            </w:tcBorders>
            <w:vAlign w:val="center"/>
          </w:tcPr>
          <w:p w14:paraId="3925E09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1.47</w:t>
            </w:r>
          </w:p>
        </w:tc>
        <w:tc>
          <w:tcPr>
            <w:tcW w:w="1056" w:type="dxa"/>
            <w:tcBorders>
              <w:bottom w:val="single" w:sz="4" w:space="0" w:color="auto"/>
            </w:tcBorders>
            <w:vAlign w:val="center"/>
          </w:tcPr>
          <w:p w14:paraId="7D270F9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1.20-1.74</w:t>
            </w:r>
          </w:p>
        </w:tc>
        <w:tc>
          <w:tcPr>
            <w:tcW w:w="1170" w:type="dxa"/>
            <w:tcBorders>
              <w:bottom w:val="single" w:sz="4" w:space="0" w:color="auto"/>
            </w:tcBorders>
            <w:vAlign w:val="center"/>
          </w:tcPr>
          <w:p w14:paraId="5E8F3B20"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2.49</w:t>
            </w:r>
          </w:p>
        </w:tc>
        <w:tc>
          <w:tcPr>
            <w:tcW w:w="1014" w:type="dxa"/>
            <w:gridSpan w:val="2"/>
            <w:tcBorders>
              <w:bottom w:val="single" w:sz="4" w:space="0" w:color="auto"/>
            </w:tcBorders>
            <w:vAlign w:val="center"/>
          </w:tcPr>
          <w:p w14:paraId="37DC17E9"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2.35-2.63</w:t>
            </w:r>
          </w:p>
        </w:tc>
      </w:tr>
      <w:tr w:rsidR="00C528D3" w:rsidRPr="005E1068" w14:paraId="5BB6E277" w14:textId="77777777" w:rsidTr="00247E05">
        <w:trPr>
          <w:jc w:val="center"/>
        </w:trPr>
        <w:tc>
          <w:tcPr>
            <w:tcW w:w="1696" w:type="dxa"/>
            <w:shd w:val="clear" w:color="auto" w:fill="auto"/>
            <w:vAlign w:val="center"/>
          </w:tcPr>
          <w:p w14:paraId="152C8048" w14:textId="19901DCD" w:rsidR="00C528D3" w:rsidRPr="005E1068" w:rsidRDefault="00ED5F9D" w:rsidP="00247E05">
            <w:pPr>
              <w:jc w:val="center"/>
              <w:rPr>
                <w:rFonts w:ascii="Times New Roman" w:hAnsi="Times New Roman"/>
                <w:bCs/>
                <w:sz w:val="20"/>
              </w:rPr>
            </w:pPr>
            <w:r w:rsidRPr="005E1068">
              <w:rPr>
                <w:rFonts w:ascii="Times New Roman" w:hAnsi="Times New Roman"/>
                <w:bCs/>
                <w:sz w:val="20"/>
              </w:rPr>
              <w:t>Manipulación de agroquímicos con código rojo</w:t>
            </w:r>
          </w:p>
        </w:tc>
        <w:tc>
          <w:tcPr>
            <w:tcW w:w="909" w:type="dxa"/>
            <w:tcBorders>
              <w:bottom w:val="single" w:sz="4" w:space="0" w:color="auto"/>
            </w:tcBorders>
            <w:shd w:val="clear" w:color="auto" w:fill="auto"/>
            <w:vAlign w:val="center"/>
          </w:tcPr>
          <w:p w14:paraId="67420340" w14:textId="77777777"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6.28</w:t>
            </w:r>
          </w:p>
        </w:tc>
        <w:tc>
          <w:tcPr>
            <w:tcW w:w="1170" w:type="dxa"/>
            <w:tcBorders>
              <w:bottom w:val="single" w:sz="4" w:space="0" w:color="auto"/>
            </w:tcBorders>
            <w:shd w:val="clear" w:color="auto" w:fill="auto"/>
            <w:vAlign w:val="center"/>
          </w:tcPr>
          <w:p w14:paraId="6A8397D2"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4.76-7.79</w:t>
            </w:r>
          </w:p>
        </w:tc>
        <w:tc>
          <w:tcPr>
            <w:tcW w:w="898" w:type="dxa"/>
            <w:tcBorders>
              <w:bottom w:val="single" w:sz="4" w:space="0" w:color="auto"/>
            </w:tcBorders>
            <w:shd w:val="clear" w:color="auto" w:fill="auto"/>
            <w:vAlign w:val="center"/>
          </w:tcPr>
          <w:p w14:paraId="556450DE"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2.77</w:t>
            </w:r>
          </w:p>
        </w:tc>
        <w:tc>
          <w:tcPr>
            <w:tcW w:w="1238" w:type="dxa"/>
            <w:tcBorders>
              <w:bottom w:val="single" w:sz="4" w:space="0" w:color="auto"/>
            </w:tcBorders>
            <w:shd w:val="clear" w:color="auto" w:fill="auto"/>
            <w:vAlign w:val="center"/>
          </w:tcPr>
          <w:p w14:paraId="047F3EFA"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2.38-3.15</w:t>
            </w:r>
          </w:p>
        </w:tc>
        <w:tc>
          <w:tcPr>
            <w:tcW w:w="1314" w:type="dxa"/>
            <w:tcBorders>
              <w:bottom w:val="single" w:sz="4" w:space="0" w:color="auto"/>
            </w:tcBorders>
            <w:shd w:val="clear" w:color="auto" w:fill="auto"/>
            <w:vAlign w:val="center"/>
          </w:tcPr>
          <w:p w14:paraId="209FA6A2"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3.51</w:t>
            </w:r>
          </w:p>
        </w:tc>
        <w:tc>
          <w:tcPr>
            <w:tcW w:w="960" w:type="dxa"/>
            <w:tcBorders>
              <w:bottom w:val="single" w:sz="4" w:space="0" w:color="auto"/>
            </w:tcBorders>
            <w:shd w:val="clear" w:color="auto" w:fill="auto"/>
            <w:vAlign w:val="center"/>
          </w:tcPr>
          <w:p w14:paraId="27C855F7"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3.44-3.58</w:t>
            </w:r>
          </w:p>
        </w:tc>
        <w:tc>
          <w:tcPr>
            <w:tcW w:w="990" w:type="dxa"/>
            <w:tcBorders>
              <w:bottom w:val="single" w:sz="4" w:space="0" w:color="auto"/>
            </w:tcBorders>
            <w:vAlign w:val="center"/>
          </w:tcPr>
          <w:p w14:paraId="4B96B8A6"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5.49</w:t>
            </w:r>
          </w:p>
        </w:tc>
        <w:tc>
          <w:tcPr>
            <w:tcW w:w="1170" w:type="dxa"/>
            <w:tcBorders>
              <w:bottom w:val="single" w:sz="4" w:space="0" w:color="auto"/>
            </w:tcBorders>
            <w:vAlign w:val="center"/>
          </w:tcPr>
          <w:p w14:paraId="7036A2ED"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3.20-7.78</w:t>
            </w:r>
          </w:p>
        </w:tc>
        <w:tc>
          <w:tcPr>
            <w:tcW w:w="900" w:type="dxa"/>
            <w:tcBorders>
              <w:bottom w:val="single" w:sz="4" w:space="0" w:color="auto"/>
            </w:tcBorders>
            <w:vAlign w:val="center"/>
          </w:tcPr>
          <w:p w14:paraId="7B154A2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2.83</w:t>
            </w:r>
          </w:p>
        </w:tc>
        <w:tc>
          <w:tcPr>
            <w:tcW w:w="1056" w:type="dxa"/>
            <w:tcBorders>
              <w:bottom w:val="single" w:sz="4" w:space="0" w:color="auto"/>
            </w:tcBorders>
            <w:vAlign w:val="center"/>
          </w:tcPr>
          <w:p w14:paraId="7ACA449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2.38-3.28</w:t>
            </w:r>
          </w:p>
        </w:tc>
        <w:tc>
          <w:tcPr>
            <w:tcW w:w="1170" w:type="dxa"/>
            <w:tcBorders>
              <w:bottom w:val="single" w:sz="4" w:space="0" w:color="auto"/>
            </w:tcBorders>
            <w:vAlign w:val="center"/>
          </w:tcPr>
          <w:p w14:paraId="3CB5EB8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2.66</w:t>
            </w:r>
          </w:p>
        </w:tc>
        <w:tc>
          <w:tcPr>
            <w:tcW w:w="1014" w:type="dxa"/>
            <w:gridSpan w:val="2"/>
            <w:tcBorders>
              <w:bottom w:val="single" w:sz="4" w:space="0" w:color="auto"/>
            </w:tcBorders>
            <w:vAlign w:val="center"/>
          </w:tcPr>
          <w:p w14:paraId="2A1AA84A"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2.48-2.84</w:t>
            </w:r>
          </w:p>
        </w:tc>
      </w:tr>
      <w:tr w:rsidR="00C528D3" w:rsidRPr="005E1068" w14:paraId="6DBABDD6" w14:textId="77777777" w:rsidTr="00247E05">
        <w:trPr>
          <w:jc w:val="center"/>
        </w:trPr>
        <w:tc>
          <w:tcPr>
            <w:tcW w:w="1696" w:type="dxa"/>
            <w:shd w:val="clear" w:color="auto" w:fill="auto"/>
            <w:vAlign w:val="center"/>
          </w:tcPr>
          <w:p w14:paraId="121AE94B" w14:textId="20C301B9" w:rsidR="00C528D3" w:rsidRPr="005E1068" w:rsidRDefault="00ED5F9D" w:rsidP="00247E05">
            <w:pPr>
              <w:jc w:val="center"/>
              <w:rPr>
                <w:rFonts w:ascii="Times New Roman" w:hAnsi="Times New Roman"/>
                <w:bCs/>
                <w:sz w:val="20"/>
              </w:rPr>
            </w:pPr>
            <w:r w:rsidRPr="005E1068">
              <w:rPr>
                <w:rFonts w:ascii="Times New Roman" w:hAnsi="Times New Roman"/>
                <w:bCs/>
                <w:sz w:val="20"/>
              </w:rPr>
              <w:t>Manipulación de agroquímicos con código amarillo</w:t>
            </w:r>
          </w:p>
        </w:tc>
        <w:tc>
          <w:tcPr>
            <w:tcW w:w="909" w:type="dxa"/>
            <w:tcBorders>
              <w:bottom w:val="single" w:sz="4" w:space="0" w:color="auto"/>
            </w:tcBorders>
            <w:shd w:val="clear" w:color="auto" w:fill="auto"/>
            <w:vAlign w:val="center"/>
          </w:tcPr>
          <w:p w14:paraId="2D74919A" w14:textId="77777777"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9.96</w:t>
            </w:r>
          </w:p>
        </w:tc>
        <w:tc>
          <w:tcPr>
            <w:tcW w:w="1170" w:type="dxa"/>
            <w:tcBorders>
              <w:bottom w:val="single" w:sz="4" w:space="0" w:color="auto"/>
            </w:tcBorders>
            <w:shd w:val="clear" w:color="auto" w:fill="auto"/>
            <w:vAlign w:val="center"/>
          </w:tcPr>
          <w:p w14:paraId="6C0292FD"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7.99-11.93</w:t>
            </w:r>
          </w:p>
        </w:tc>
        <w:tc>
          <w:tcPr>
            <w:tcW w:w="898" w:type="dxa"/>
            <w:tcBorders>
              <w:bottom w:val="single" w:sz="4" w:space="0" w:color="auto"/>
            </w:tcBorders>
            <w:shd w:val="clear" w:color="auto" w:fill="auto"/>
            <w:vAlign w:val="center"/>
          </w:tcPr>
          <w:p w14:paraId="39CDF024"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4.65</w:t>
            </w:r>
          </w:p>
        </w:tc>
        <w:tc>
          <w:tcPr>
            <w:tcW w:w="1238" w:type="dxa"/>
            <w:tcBorders>
              <w:bottom w:val="single" w:sz="4" w:space="0" w:color="auto"/>
            </w:tcBorders>
            <w:shd w:val="clear" w:color="auto" w:fill="auto"/>
            <w:vAlign w:val="center"/>
          </w:tcPr>
          <w:p w14:paraId="2C827536"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4.08-5.22</w:t>
            </w:r>
          </w:p>
        </w:tc>
        <w:tc>
          <w:tcPr>
            <w:tcW w:w="1314" w:type="dxa"/>
            <w:tcBorders>
              <w:bottom w:val="single" w:sz="4" w:space="0" w:color="auto"/>
            </w:tcBorders>
            <w:shd w:val="clear" w:color="auto" w:fill="auto"/>
            <w:vAlign w:val="center"/>
          </w:tcPr>
          <w:p w14:paraId="23D7742E"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5.31</w:t>
            </w:r>
          </w:p>
        </w:tc>
        <w:tc>
          <w:tcPr>
            <w:tcW w:w="960" w:type="dxa"/>
            <w:tcBorders>
              <w:bottom w:val="single" w:sz="4" w:space="0" w:color="auto"/>
            </w:tcBorders>
            <w:shd w:val="clear" w:color="auto" w:fill="auto"/>
            <w:vAlign w:val="center"/>
          </w:tcPr>
          <w:p w14:paraId="1B90E134"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5.22-5.40</w:t>
            </w:r>
          </w:p>
        </w:tc>
        <w:tc>
          <w:tcPr>
            <w:tcW w:w="990" w:type="dxa"/>
            <w:tcBorders>
              <w:bottom w:val="single" w:sz="4" w:space="0" w:color="auto"/>
            </w:tcBorders>
            <w:vAlign w:val="center"/>
          </w:tcPr>
          <w:p w14:paraId="201C4F3A"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10.22</w:t>
            </w:r>
          </w:p>
        </w:tc>
        <w:tc>
          <w:tcPr>
            <w:tcW w:w="1170" w:type="dxa"/>
            <w:tcBorders>
              <w:bottom w:val="single" w:sz="4" w:space="0" w:color="auto"/>
            </w:tcBorders>
            <w:vAlign w:val="center"/>
          </w:tcPr>
          <w:p w14:paraId="7918148C"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7.25-13.18</w:t>
            </w:r>
          </w:p>
        </w:tc>
        <w:tc>
          <w:tcPr>
            <w:tcW w:w="900" w:type="dxa"/>
            <w:tcBorders>
              <w:bottom w:val="single" w:sz="4" w:space="0" w:color="auto"/>
            </w:tcBorders>
            <w:vAlign w:val="center"/>
          </w:tcPr>
          <w:p w14:paraId="2BD92CB5"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4.91</w:t>
            </w:r>
          </w:p>
        </w:tc>
        <w:tc>
          <w:tcPr>
            <w:tcW w:w="1056" w:type="dxa"/>
            <w:tcBorders>
              <w:bottom w:val="single" w:sz="4" w:space="0" w:color="auto"/>
            </w:tcBorders>
            <w:vAlign w:val="center"/>
          </w:tcPr>
          <w:p w14:paraId="4594DA52"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4.28-5.55</w:t>
            </w:r>
          </w:p>
        </w:tc>
        <w:tc>
          <w:tcPr>
            <w:tcW w:w="1170" w:type="dxa"/>
            <w:tcBorders>
              <w:bottom w:val="single" w:sz="4" w:space="0" w:color="auto"/>
            </w:tcBorders>
            <w:vAlign w:val="center"/>
          </w:tcPr>
          <w:p w14:paraId="7A8848F6"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5.31</w:t>
            </w:r>
          </w:p>
        </w:tc>
        <w:tc>
          <w:tcPr>
            <w:tcW w:w="1014" w:type="dxa"/>
            <w:gridSpan w:val="2"/>
            <w:tcBorders>
              <w:bottom w:val="single" w:sz="4" w:space="0" w:color="auto"/>
            </w:tcBorders>
            <w:vAlign w:val="center"/>
          </w:tcPr>
          <w:p w14:paraId="5964090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5.07-5.55</w:t>
            </w:r>
          </w:p>
        </w:tc>
      </w:tr>
      <w:tr w:rsidR="00C528D3" w:rsidRPr="005E1068" w14:paraId="68E1CEE6" w14:textId="77777777" w:rsidTr="00247E05">
        <w:trPr>
          <w:jc w:val="center"/>
        </w:trPr>
        <w:tc>
          <w:tcPr>
            <w:tcW w:w="1696" w:type="dxa"/>
            <w:shd w:val="clear" w:color="auto" w:fill="auto"/>
            <w:vAlign w:val="center"/>
          </w:tcPr>
          <w:p w14:paraId="30119D59" w14:textId="1B0942A0" w:rsidR="00C528D3" w:rsidRPr="005E1068" w:rsidRDefault="00ED5F9D" w:rsidP="00247E05">
            <w:pPr>
              <w:jc w:val="center"/>
              <w:rPr>
                <w:rFonts w:ascii="Times New Roman" w:hAnsi="Times New Roman"/>
                <w:bCs/>
                <w:sz w:val="20"/>
              </w:rPr>
            </w:pPr>
            <w:r w:rsidRPr="005E1068">
              <w:rPr>
                <w:rFonts w:ascii="Times New Roman" w:hAnsi="Times New Roman"/>
                <w:bCs/>
                <w:sz w:val="20"/>
              </w:rPr>
              <w:t>Manipulación de agroquímicos con código azul</w:t>
            </w:r>
          </w:p>
        </w:tc>
        <w:tc>
          <w:tcPr>
            <w:tcW w:w="909" w:type="dxa"/>
            <w:tcBorders>
              <w:bottom w:val="single" w:sz="4" w:space="0" w:color="auto"/>
            </w:tcBorders>
            <w:shd w:val="clear" w:color="auto" w:fill="auto"/>
            <w:vAlign w:val="center"/>
          </w:tcPr>
          <w:p w14:paraId="2ECE3AAC" w14:textId="77777777"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4.74</w:t>
            </w:r>
          </w:p>
        </w:tc>
        <w:tc>
          <w:tcPr>
            <w:tcW w:w="1170" w:type="dxa"/>
            <w:tcBorders>
              <w:bottom w:val="single" w:sz="4" w:space="0" w:color="auto"/>
            </w:tcBorders>
            <w:shd w:val="clear" w:color="auto" w:fill="auto"/>
            <w:vAlign w:val="center"/>
          </w:tcPr>
          <w:p w14:paraId="38AD9C12"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3.15-6.32</w:t>
            </w:r>
          </w:p>
        </w:tc>
        <w:tc>
          <w:tcPr>
            <w:tcW w:w="898" w:type="dxa"/>
            <w:tcBorders>
              <w:bottom w:val="single" w:sz="4" w:space="0" w:color="auto"/>
            </w:tcBorders>
            <w:shd w:val="clear" w:color="auto" w:fill="auto"/>
            <w:vAlign w:val="center"/>
          </w:tcPr>
          <w:p w14:paraId="7749323B"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2.17</w:t>
            </w:r>
          </w:p>
        </w:tc>
        <w:tc>
          <w:tcPr>
            <w:tcW w:w="1238" w:type="dxa"/>
            <w:tcBorders>
              <w:bottom w:val="single" w:sz="4" w:space="0" w:color="auto"/>
            </w:tcBorders>
            <w:shd w:val="clear" w:color="auto" w:fill="auto"/>
            <w:vAlign w:val="center"/>
          </w:tcPr>
          <w:p w14:paraId="4E18FD84"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1.75-2.59</w:t>
            </w:r>
          </w:p>
        </w:tc>
        <w:tc>
          <w:tcPr>
            <w:tcW w:w="1314" w:type="dxa"/>
            <w:tcBorders>
              <w:bottom w:val="single" w:sz="4" w:space="0" w:color="auto"/>
            </w:tcBorders>
            <w:shd w:val="clear" w:color="auto" w:fill="auto"/>
            <w:vAlign w:val="center"/>
          </w:tcPr>
          <w:p w14:paraId="2FC28300"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2.57</w:t>
            </w:r>
          </w:p>
        </w:tc>
        <w:tc>
          <w:tcPr>
            <w:tcW w:w="960" w:type="dxa"/>
            <w:tcBorders>
              <w:bottom w:val="single" w:sz="4" w:space="0" w:color="auto"/>
            </w:tcBorders>
            <w:shd w:val="clear" w:color="auto" w:fill="auto"/>
            <w:vAlign w:val="center"/>
          </w:tcPr>
          <w:p w14:paraId="54286CDE"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2.50-2.64</w:t>
            </w:r>
          </w:p>
        </w:tc>
        <w:tc>
          <w:tcPr>
            <w:tcW w:w="990" w:type="dxa"/>
            <w:tcBorders>
              <w:bottom w:val="single" w:sz="4" w:space="0" w:color="auto"/>
            </w:tcBorders>
            <w:vAlign w:val="center"/>
          </w:tcPr>
          <w:p w14:paraId="2DE560A2"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4.43</w:t>
            </w:r>
          </w:p>
        </w:tc>
        <w:tc>
          <w:tcPr>
            <w:tcW w:w="1170" w:type="dxa"/>
            <w:tcBorders>
              <w:bottom w:val="single" w:sz="4" w:space="0" w:color="auto"/>
            </w:tcBorders>
            <w:vAlign w:val="center"/>
          </w:tcPr>
          <w:p w14:paraId="53B8F47A"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2.66-6.20</w:t>
            </w:r>
          </w:p>
        </w:tc>
        <w:tc>
          <w:tcPr>
            <w:tcW w:w="900" w:type="dxa"/>
            <w:tcBorders>
              <w:bottom w:val="single" w:sz="4" w:space="0" w:color="auto"/>
            </w:tcBorders>
            <w:vAlign w:val="center"/>
          </w:tcPr>
          <w:p w14:paraId="7987CD0D"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2.29</w:t>
            </w:r>
          </w:p>
        </w:tc>
        <w:tc>
          <w:tcPr>
            <w:tcW w:w="1056" w:type="dxa"/>
            <w:tcBorders>
              <w:bottom w:val="single" w:sz="4" w:space="0" w:color="auto"/>
            </w:tcBorders>
            <w:vAlign w:val="center"/>
          </w:tcPr>
          <w:p w14:paraId="69D258AB"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1.84-2.73</w:t>
            </w:r>
          </w:p>
        </w:tc>
        <w:tc>
          <w:tcPr>
            <w:tcW w:w="1170" w:type="dxa"/>
            <w:tcBorders>
              <w:bottom w:val="single" w:sz="4" w:space="0" w:color="auto"/>
            </w:tcBorders>
            <w:vAlign w:val="center"/>
          </w:tcPr>
          <w:p w14:paraId="45A07628"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2.14</w:t>
            </w:r>
          </w:p>
        </w:tc>
        <w:tc>
          <w:tcPr>
            <w:tcW w:w="1014" w:type="dxa"/>
            <w:gridSpan w:val="2"/>
            <w:tcBorders>
              <w:bottom w:val="single" w:sz="4" w:space="0" w:color="auto"/>
            </w:tcBorders>
            <w:vAlign w:val="center"/>
          </w:tcPr>
          <w:p w14:paraId="37E1B4CC"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2.00-2.28</w:t>
            </w:r>
          </w:p>
        </w:tc>
      </w:tr>
      <w:tr w:rsidR="00C528D3" w:rsidRPr="005E1068" w14:paraId="774BB6E3" w14:textId="77777777" w:rsidTr="00247E05">
        <w:trPr>
          <w:jc w:val="center"/>
        </w:trPr>
        <w:tc>
          <w:tcPr>
            <w:tcW w:w="1696" w:type="dxa"/>
            <w:shd w:val="clear" w:color="auto" w:fill="auto"/>
            <w:vAlign w:val="center"/>
          </w:tcPr>
          <w:p w14:paraId="39CB30C3" w14:textId="64E59B4E" w:rsidR="00C528D3" w:rsidRPr="005E1068" w:rsidRDefault="00ED5F9D" w:rsidP="00247E05">
            <w:pPr>
              <w:jc w:val="center"/>
              <w:rPr>
                <w:rFonts w:ascii="Times New Roman" w:hAnsi="Times New Roman"/>
                <w:bCs/>
                <w:sz w:val="20"/>
              </w:rPr>
            </w:pPr>
            <w:r w:rsidRPr="005E1068">
              <w:rPr>
                <w:rFonts w:ascii="Times New Roman" w:hAnsi="Times New Roman"/>
                <w:bCs/>
                <w:sz w:val="20"/>
              </w:rPr>
              <w:t>Manipulación de agroquímicos con código verde</w:t>
            </w:r>
          </w:p>
        </w:tc>
        <w:tc>
          <w:tcPr>
            <w:tcW w:w="909" w:type="dxa"/>
            <w:tcBorders>
              <w:bottom w:val="single" w:sz="4" w:space="0" w:color="auto"/>
            </w:tcBorders>
            <w:shd w:val="clear" w:color="auto" w:fill="auto"/>
            <w:vAlign w:val="center"/>
          </w:tcPr>
          <w:p w14:paraId="431A6F33" w14:textId="77777777"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4.65</w:t>
            </w:r>
          </w:p>
        </w:tc>
        <w:tc>
          <w:tcPr>
            <w:tcW w:w="1170" w:type="dxa"/>
            <w:tcBorders>
              <w:bottom w:val="single" w:sz="4" w:space="0" w:color="auto"/>
            </w:tcBorders>
            <w:shd w:val="clear" w:color="auto" w:fill="auto"/>
            <w:vAlign w:val="center"/>
          </w:tcPr>
          <w:p w14:paraId="6828C081"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3.05-6.26</w:t>
            </w:r>
          </w:p>
        </w:tc>
        <w:tc>
          <w:tcPr>
            <w:tcW w:w="898" w:type="dxa"/>
            <w:tcBorders>
              <w:bottom w:val="single" w:sz="4" w:space="0" w:color="auto"/>
            </w:tcBorders>
            <w:shd w:val="clear" w:color="auto" w:fill="auto"/>
            <w:vAlign w:val="center"/>
          </w:tcPr>
          <w:p w14:paraId="7E6E11EA"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2.15</w:t>
            </w:r>
          </w:p>
        </w:tc>
        <w:tc>
          <w:tcPr>
            <w:tcW w:w="1238" w:type="dxa"/>
            <w:tcBorders>
              <w:bottom w:val="single" w:sz="4" w:space="0" w:color="auto"/>
            </w:tcBorders>
            <w:shd w:val="clear" w:color="auto" w:fill="auto"/>
            <w:vAlign w:val="center"/>
          </w:tcPr>
          <w:p w14:paraId="5FB24447"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1.73-2.57</w:t>
            </w:r>
          </w:p>
        </w:tc>
        <w:tc>
          <w:tcPr>
            <w:tcW w:w="1314" w:type="dxa"/>
            <w:tcBorders>
              <w:bottom w:val="single" w:sz="4" w:space="0" w:color="auto"/>
            </w:tcBorders>
            <w:shd w:val="clear" w:color="auto" w:fill="auto"/>
            <w:vAlign w:val="center"/>
          </w:tcPr>
          <w:p w14:paraId="54F244D0"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2.50</w:t>
            </w:r>
          </w:p>
        </w:tc>
        <w:tc>
          <w:tcPr>
            <w:tcW w:w="960" w:type="dxa"/>
            <w:tcBorders>
              <w:bottom w:val="single" w:sz="4" w:space="0" w:color="auto"/>
            </w:tcBorders>
            <w:shd w:val="clear" w:color="auto" w:fill="auto"/>
            <w:vAlign w:val="center"/>
          </w:tcPr>
          <w:p w14:paraId="6D46C46A"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2.43-2.57</w:t>
            </w:r>
          </w:p>
        </w:tc>
        <w:tc>
          <w:tcPr>
            <w:tcW w:w="990" w:type="dxa"/>
            <w:tcBorders>
              <w:bottom w:val="single" w:sz="4" w:space="0" w:color="auto"/>
            </w:tcBorders>
            <w:vAlign w:val="center"/>
          </w:tcPr>
          <w:p w14:paraId="4EEA031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4.52</w:t>
            </w:r>
          </w:p>
        </w:tc>
        <w:tc>
          <w:tcPr>
            <w:tcW w:w="1170" w:type="dxa"/>
            <w:tcBorders>
              <w:bottom w:val="single" w:sz="4" w:space="0" w:color="auto"/>
            </w:tcBorders>
            <w:vAlign w:val="center"/>
          </w:tcPr>
          <w:p w14:paraId="0284F7C0"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2.71-6.34</w:t>
            </w:r>
          </w:p>
        </w:tc>
        <w:tc>
          <w:tcPr>
            <w:tcW w:w="900" w:type="dxa"/>
            <w:tcBorders>
              <w:bottom w:val="single" w:sz="4" w:space="0" w:color="auto"/>
            </w:tcBorders>
            <w:vAlign w:val="center"/>
          </w:tcPr>
          <w:p w14:paraId="4221404A"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2.28</w:t>
            </w:r>
          </w:p>
        </w:tc>
        <w:tc>
          <w:tcPr>
            <w:tcW w:w="1056" w:type="dxa"/>
            <w:tcBorders>
              <w:bottom w:val="single" w:sz="4" w:space="0" w:color="auto"/>
            </w:tcBorders>
            <w:vAlign w:val="center"/>
          </w:tcPr>
          <w:p w14:paraId="10AC31ED"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1.83-2.72</w:t>
            </w:r>
          </w:p>
        </w:tc>
        <w:tc>
          <w:tcPr>
            <w:tcW w:w="1170" w:type="dxa"/>
            <w:tcBorders>
              <w:bottom w:val="single" w:sz="4" w:space="0" w:color="auto"/>
            </w:tcBorders>
            <w:vAlign w:val="center"/>
          </w:tcPr>
          <w:p w14:paraId="39040FD0"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2.24</w:t>
            </w:r>
          </w:p>
        </w:tc>
        <w:tc>
          <w:tcPr>
            <w:tcW w:w="1014" w:type="dxa"/>
            <w:gridSpan w:val="2"/>
            <w:tcBorders>
              <w:bottom w:val="single" w:sz="4" w:space="0" w:color="auto"/>
            </w:tcBorders>
            <w:vAlign w:val="center"/>
          </w:tcPr>
          <w:p w14:paraId="6BDF79AC"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2.10-2.38</w:t>
            </w:r>
          </w:p>
        </w:tc>
      </w:tr>
      <w:tr w:rsidR="00C528D3" w:rsidRPr="005E1068" w14:paraId="2500BAAA" w14:textId="77777777" w:rsidTr="00247E05">
        <w:trPr>
          <w:jc w:val="center"/>
        </w:trPr>
        <w:tc>
          <w:tcPr>
            <w:tcW w:w="1696" w:type="dxa"/>
            <w:shd w:val="clear" w:color="auto" w:fill="auto"/>
            <w:vAlign w:val="center"/>
          </w:tcPr>
          <w:p w14:paraId="2EB428F6" w14:textId="65F13AC1" w:rsidR="00C528D3" w:rsidRPr="005E1068" w:rsidRDefault="00ED5F9D" w:rsidP="00247E05">
            <w:pPr>
              <w:jc w:val="center"/>
              <w:rPr>
                <w:rFonts w:ascii="Times New Roman" w:hAnsi="Times New Roman"/>
                <w:bCs/>
                <w:sz w:val="20"/>
                <w:lang w:val="en-US"/>
              </w:rPr>
            </w:pPr>
            <w:r w:rsidRPr="005E1068">
              <w:rPr>
                <w:rFonts w:ascii="Times New Roman" w:hAnsi="Times New Roman"/>
                <w:bCs/>
                <w:sz w:val="20"/>
              </w:rPr>
              <w:lastRenderedPageBreak/>
              <w:t xml:space="preserve">Manipulación de agroquímicos </w:t>
            </w:r>
            <w:proofErr w:type="spellStart"/>
            <w:r w:rsidRPr="005E1068">
              <w:rPr>
                <w:rFonts w:ascii="Times New Roman" w:hAnsi="Times New Roman"/>
                <w:bCs/>
                <w:sz w:val="20"/>
              </w:rPr>
              <w:t>nefrotóxicos</w:t>
            </w:r>
            <w:proofErr w:type="spellEnd"/>
          </w:p>
        </w:tc>
        <w:tc>
          <w:tcPr>
            <w:tcW w:w="909" w:type="dxa"/>
            <w:tcBorders>
              <w:bottom w:val="single" w:sz="4" w:space="0" w:color="auto"/>
            </w:tcBorders>
            <w:shd w:val="clear" w:color="auto" w:fill="auto"/>
            <w:vAlign w:val="center"/>
          </w:tcPr>
          <w:p w14:paraId="50944101" w14:textId="77777777"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2.23</w:t>
            </w:r>
          </w:p>
        </w:tc>
        <w:tc>
          <w:tcPr>
            <w:tcW w:w="1170" w:type="dxa"/>
            <w:tcBorders>
              <w:bottom w:val="single" w:sz="4" w:space="0" w:color="auto"/>
            </w:tcBorders>
            <w:shd w:val="clear" w:color="auto" w:fill="auto"/>
            <w:vAlign w:val="center"/>
          </w:tcPr>
          <w:p w14:paraId="628EA2D2"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1.14-3.32</w:t>
            </w:r>
          </w:p>
        </w:tc>
        <w:tc>
          <w:tcPr>
            <w:tcW w:w="898" w:type="dxa"/>
            <w:tcBorders>
              <w:bottom w:val="single" w:sz="4" w:space="0" w:color="auto"/>
            </w:tcBorders>
            <w:shd w:val="clear" w:color="auto" w:fill="auto"/>
            <w:vAlign w:val="center"/>
          </w:tcPr>
          <w:p w14:paraId="15093BDE"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1.23</w:t>
            </w:r>
          </w:p>
        </w:tc>
        <w:tc>
          <w:tcPr>
            <w:tcW w:w="1238" w:type="dxa"/>
            <w:tcBorders>
              <w:bottom w:val="single" w:sz="4" w:space="0" w:color="auto"/>
            </w:tcBorders>
            <w:shd w:val="clear" w:color="auto" w:fill="auto"/>
            <w:vAlign w:val="center"/>
          </w:tcPr>
          <w:p w14:paraId="1E4A6481"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0.94-1.51</w:t>
            </w:r>
          </w:p>
        </w:tc>
        <w:tc>
          <w:tcPr>
            <w:tcW w:w="1314" w:type="dxa"/>
            <w:tcBorders>
              <w:bottom w:val="single" w:sz="4" w:space="0" w:color="auto"/>
            </w:tcBorders>
            <w:shd w:val="clear" w:color="auto" w:fill="auto"/>
            <w:vAlign w:val="center"/>
          </w:tcPr>
          <w:p w14:paraId="26FE6CD3"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1.00</w:t>
            </w:r>
          </w:p>
        </w:tc>
        <w:tc>
          <w:tcPr>
            <w:tcW w:w="960" w:type="dxa"/>
            <w:tcBorders>
              <w:bottom w:val="single" w:sz="4" w:space="0" w:color="auto"/>
            </w:tcBorders>
            <w:shd w:val="clear" w:color="auto" w:fill="auto"/>
            <w:vAlign w:val="center"/>
          </w:tcPr>
          <w:p w14:paraId="09A1AAD4"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0.95-1.05</w:t>
            </w:r>
          </w:p>
        </w:tc>
        <w:tc>
          <w:tcPr>
            <w:tcW w:w="990" w:type="dxa"/>
            <w:tcBorders>
              <w:bottom w:val="single" w:sz="4" w:space="0" w:color="auto"/>
            </w:tcBorders>
            <w:vAlign w:val="center"/>
          </w:tcPr>
          <w:p w14:paraId="1A234822"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2.74</w:t>
            </w:r>
          </w:p>
        </w:tc>
        <w:tc>
          <w:tcPr>
            <w:tcW w:w="1170" w:type="dxa"/>
            <w:tcBorders>
              <w:bottom w:val="single" w:sz="4" w:space="0" w:color="auto"/>
            </w:tcBorders>
            <w:vAlign w:val="center"/>
          </w:tcPr>
          <w:p w14:paraId="5692EDE8"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0.98-4.51</w:t>
            </w:r>
          </w:p>
        </w:tc>
        <w:tc>
          <w:tcPr>
            <w:tcW w:w="900" w:type="dxa"/>
            <w:tcBorders>
              <w:bottom w:val="single" w:sz="4" w:space="0" w:color="auto"/>
            </w:tcBorders>
            <w:vAlign w:val="center"/>
          </w:tcPr>
          <w:p w14:paraId="5DBDC7E7"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1.29</w:t>
            </w:r>
          </w:p>
        </w:tc>
        <w:tc>
          <w:tcPr>
            <w:tcW w:w="1056" w:type="dxa"/>
            <w:tcBorders>
              <w:bottom w:val="single" w:sz="4" w:space="0" w:color="auto"/>
            </w:tcBorders>
            <w:vAlign w:val="center"/>
          </w:tcPr>
          <w:p w14:paraId="54AAD4F7"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0.97-1.61</w:t>
            </w:r>
          </w:p>
        </w:tc>
        <w:tc>
          <w:tcPr>
            <w:tcW w:w="1170" w:type="dxa"/>
            <w:tcBorders>
              <w:bottom w:val="single" w:sz="4" w:space="0" w:color="auto"/>
            </w:tcBorders>
            <w:vAlign w:val="center"/>
          </w:tcPr>
          <w:p w14:paraId="38B8DEB9"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1.45</w:t>
            </w:r>
          </w:p>
        </w:tc>
        <w:tc>
          <w:tcPr>
            <w:tcW w:w="1014" w:type="dxa"/>
            <w:gridSpan w:val="2"/>
            <w:tcBorders>
              <w:bottom w:val="single" w:sz="4" w:space="0" w:color="auto"/>
            </w:tcBorders>
            <w:vAlign w:val="center"/>
          </w:tcPr>
          <w:p w14:paraId="274534A1"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1.31-1.59</w:t>
            </w:r>
          </w:p>
        </w:tc>
      </w:tr>
      <w:tr w:rsidR="00C528D3" w:rsidRPr="005E1068" w14:paraId="7BA63686" w14:textId="77777777" w:rsidTr="00247E05">
        <w:trPr>
          <w:jc w:val="center"/>
        </w:trPr>
        <w:tc>
          <w:tcPr>
            <w:tcW w:w="1696" w:type="dxa"/>
            <w:shd w:val="clear" w:color="auto" w:fill="auto"/>
            <w:vAlign w:val="center"/>
          </w:tcPr>
          <w:p w14:paraId="2805CBC0" w14:textId="36427DEE" w:rsidR="00C528D3" w:rsidRPr="005E1068" w:rsidRDefault="00ED5F9D" w:rsidP="00247E05">
            <w:pPr>
              <w:jc w:val="center"/>
              <w:rPr>
                <w:rFonts w:ascii="Times New Roman" w:hAnsi="Times New Roman"/>
                <w:bCs/>
                <w:sz w:val="20"/>
                <w:lang w:val="es-ES_tradnl"/>
              </w:rPr>
            </w:pPr>
            <w:r w:rsidRPr="005E1068">
              <w:rPr>
                <w:rFonts w:ascii="Times New Roman" w:hAnsi="Times New Roman"/>
                <w:bCs/>
                <w:sz w:val="20"/>
              </w:rPr>
              <w:t xml:space="preserve">Manipulación de </w:t>
            </w:r>
            <w:proofErr w:type="spellStart"/>
            <w:r w:rsidRPr="005E1068">
              <w:rPr>
                <w:rFonts w:ascii="Times New Roman" w:hAnsi="Times New Roman"/>
                <w:bCs/>
                <w:sz w:val="20"/>
              </w:rPr>
              <w:t>paraquat</w:t>
            </w:r>
            <w:proofErr w:type="spellEnd"/>
          </w:p>
        </w:tc>
        <w:tc>
          <w:tcPr>
            <w:tcW w:w="909" w:type="dxa"/>
            <w:tcBorders>
              <w:bottom w:val="single" w:sz="4" w:space="0" w:color="auto"/>
            </w:tcBorders>
            <w:shd w:val="clear" w:color="auto" w:fill="auto"/>
            <w:vAlign w:val="center"/>
          </w:tcPr>
          <w:p w14:paraId="01663CE0" w14:textId="77777777" w:rsidR="00C528D3" w:rsidRPr="005E1068" w:rsidRDefault="00C528D3" w:rsidP="00247E05">
            <w:pPr>
              <w:spacing w:line="360" w:lineRule="auto"/>
              <w:jc w:val="center"/>
              <w:rPr>
                <w:rFonts w:ascii="Times New Roman" w:hAnsi="Times New Roman"/>
                <w:b/>
                <w:sz w:val="20"/>
                <w:szCs w:val="20"/>
                <w:lang w:val="en-US"/>
              </w:rPr>
            </w:pPr>
            <w:r w:rsidRPr="005E1068">
              <w:rPr>
                <w:rFonts w:ascii="Times New Roman" w:hAnsi="Times New Roman"/>
                <w:sz w:val="20"/>
                <w:szCs w:val="20"/>
                <w:lang w:val="en-US"/>
              </w:rPr>
              <w:t>9.27</w:t>
            </w:r>
          </w:p>
        </w:tc>
        <w:tc>
          <w:tcPr>
            <w:tcW w:w="1170" w:type="dxa"/>
            <w:tcBorders>
              <w:bottom w:val="single" w:sz="4" w:space="0" w:color="auto"/>
            </w:tcBorders>
            <w:shd w:val="clear" w:color="auto" w:fill="auto"/>
            <w:vAlign w:val="center"/>
          </w:tcPr>
          <w:p w14:paraId="4A3A12B9"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7.42-11.13</w:t>
            </w:r>
          </w:p>
        </w:tc>
        <w:tc>
          <w:tcPr>
            <w:tcW w:w="898" w:type="dxa"/>
            <w:tcBorders>
              <w:bottom w:val="single" w:sz="4" w:space="0" w:color="auto"/>
            </w:tcBorders>
            <w:shd w:val="clear" w:color="auto" w:fill="auto"/>
            <w:vAlign w:val="center"/>
          </w:tcPr>
          <w:p w14:paraId="30ED29A3"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4.82</w:t>
            </w:r>
          </w:p>
        </w:tc>
        <w:tc>
          <w:tcPr>
            <w:tcW w:w="1238" w:type="dxa"/>
            <w:tcBorders>
              <w:bottom w:val="single" w:sz="4" w:space="0" w:color="auto"/>
            </w:tcBorders>
            <w:shd w:val="clear" w:color="auto" w:fill="auto"/>
            <w:vAlign w:val="center"/>
          </w:tcPr>
          <w:p w14:paraId="15631CC5"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4.19-5.45</w:t>
            </w:r>
          </w:p>
        </w:tc>
        <w:tc>
          <w:tcPr>
            <w:tcW w:w="1314" w:type="dxa"/>
            <w:tcBorders>
              <w:bottom w:val="single" w:sz="4" w:space="0" w:color="auto"/>
            </w:tcBorders>
            <w:shd w:val="clear" w:color="auto" w:fill="auto"/>
            <w:vAlign w:val="center"/>
          </w:tcPr>
          <w:p w14:paraId="16538125"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4.45</w:t>
            </w:r>
          </w:p>
        </w:tc>
        <w:tc>
          <w:tcPr>
            <w:tcW w:w="960" w:type="dxa"/>
            <w:tcBorders>
              <w:bottom w:val="single" w:sz="4" w:space="0" w:color="auto"/>
            </w:tcBorders>
            <w:shd w:val="clear" w:color="auto" w:fill="auto"/>
            <w:vAlign w:val="center"/>
          </w:tcPr>
          <w:p w14:paraId="1C8E182C" w14:textId="77777777" w:rsidR="00C528D3" w:rsidRPr="005E1068" w:rsidRDefault="00C528D3" w:rsidP="00247E05">
            <w:pPr>
              <w:spacing w:line="360" w:lineRule="auto"/>
              <w:ind w:left="220"/>
              <w:jc w:val="center"/>
              <w:rPr>
                <w:rFonts w:ascii="Times New Roman" w:hAnsi="Times New Roman"/>
                <w:b/>
                <w:sz w:val="20"/>
                <w:szCs w:val="20"/>
                <w:lang w:val="en-US"/>
              </w:rPr>
            </w:pPr>
            <w:r w:rsidRPr="005E1068">
              <w:rPr>
                <w:rFonts w:ascii="Times New Roman" w:hAnsi="Times New Roman"/>
                <w:sz w:val="20"/>
                <w:szCs w:val="20"/>
                <w:lang w:val="en-US"/>
              </w:rPr>
              <w:t>4.42-4.48</w:t>
            </w:r>
          </w:p>
        </w:tc>
        <w:tc>
          <w:tcPr>
            <w:tcW w:w="990" w:type="dxa"/>
            <w:tcBorders>
              <w:bottom w:val="single" w:sz="4" w:space="0" w:color="auto"/>
            </w:tcBorders>
            <w:vAlign w:val="center"/>
          </w:tcPr>
          <w:p w14:paraId="12421E83"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10.59</w:t>
            </w:r>
          </w:p>
        </w:tc>
        <w:tc>
          <w:tcPr>
            <w:tcW w:w="1170" w:type="dxa"/>
            <w:tcBorders>
              <w:bottom w:val="single" w:sz="4" w:space="0" w:color="auto"/>
            </w:tcBorders>
            <w:vAlign w:val="center"/>
          </w:tcPr>
          <w:p w14:paraId="0D9948DB"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7.35-13.83</w:t>
            </w:r>
          </w:p>
        </w:tc>
        <w:tc>
          <w:tcPr>
            <w:tcW w:w="900" w:type="dxa"/>
            <w:tcBorders>
              <w:bottom w:val="single" w:sz="4" w:space="0" w:color="auto"/>
            </w:tcBorders>
            <w:vAlign w:val="center"/>
          </w:tcPr>
          <w:p w14:paraId="4C8CB50D"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5.24</w:t>
            </w:r>
          </w:p>
        </w:tc>
        <w:tc>
          <w:tcPr>
            <w:tcW w:w="1056" w:type="dxa"/>
            <w:tcBorders>
              <w:bottom w:val="single" w:sz="4" w:space="0" w:color="auto"/>
            </w:tcBorders>
            <w:vAlign w:val="center"/>
          </w:tcPr>
          <w:p w14:paraId="4D0A961A"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4.53-5.95</w:t>
            </w:r>
          </w:p>
        </w:tc>
        <w:tc>
          <w:tcPr>
            <w:tcW w:w="1170" w:type="dxa"/>
            <w:tcBorders>
              <w:bottom w:val="single" w:sz="4" w:space="0" w:color="auto"/>
            </w:tcBorders>
            <w:vAlign w:val="center"/>
          </w:tcPr>
          <w:p w14:paraId="2A2D503E"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5.35</w:t>
            </w:r>
          </w:p>
        </w:tc>
        <w:tc>
          <w:tcPr>
            <w:tcW w:w="1014" w:type="dxa"/>
            <w:gridSpan w:val="2"/>
            <w:tcBorders>
              <w:bottom w:val="single" w:sz="4" w:space="0" w:color="auto"/>
            </w:tcBorders>
            <w:vAlign w:val="center"/>
          </w:tcPr>
          <w:p w14:paraId="276C2A79"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5.09-5.61</w:t>
            </w:r>
          </w:p>
        </w:tc>
      </w:tr>
      <w:tr w:rsidR="00C528D3" w:rsidRPr="005E1068" w14:paraId="75808EB9" w14:textId="77777777" w:rsidTr="00247E05">
        <w:trPr>
          <w:jc w:val="center"/>
        </w:trPr>
        <w:tc>
          <w:tcPr>
            <w:tcW w:w="14485" w:type="dxa"/>
            <w:gridSpan w:val="14"/>
            <w:shd w:val="clear" w:color="auto" w:fill="E5B8B7" w:themeFill="accent2" w:themeFillTint="66"/>
            <w:vAlign w:val="center"/>
          </w:tcPr>
          <w:p w14:paraId="3286B954" w14:textId="121C22C4" w:rsidR="00C528D3" w:rsidRPr="005E1068" w:rsidRDefault="00ED5F9D" w:rsidP="00247E05">
            <w:pPr>
              <w:spacing w:line="360" w:lineRule="auto"/>
              <w:ind w:left="220"/>
              <w:jc w:val="center"/>
              <w:rPr>
                <w:rFonts w:ascii="Times New Roman" w:hAnsi="Times New Roman"/>
                <w:sz w:val="20"/>
                <w:szCs w:val="20"/>
              </w:rPr>
            </w:pPr>
            <w:r w:rsidRPr="005E1068">
              <w:rPr>
                <w:rFonts w:ascii="Times New Roman" w:hAnsi="Times New Roman"/>
                <w:sz w:val="20"/>
                <w:szCs w:val="20"/>
              </w:rPr>
              <w:t>Exposición pasada a condiciones asociadas con los agroquímicos</w:t>
            </w:r>
          </w:p>
        </w:tc>
      </w:tr>
      <w:tr w:rsidR="00C528D3" w:rsidRPr="005E1068" w14:paraId="3B344657" w14:textId="77777777" w:rsidTr="00247E05">
        <w:trPr>
          <w:jc w:val="center"/>
        </w:trPr>
        <w:tc>
          <w:tcPr>
            <w:tcW w:w="1696" w:type="dxa"/>
            <w:shd w:val="clear" w:color="auto" w:fill="auto"/>
            <w:vAlign w:val="center"/>
          </w:tcPr>
          <w:p w14:paraId="5FF04CC9" w14:textId="439F49EF" w:rsidR="00C528D3" w:rsidRPr="005E1068" w:rsidRDefault="00247E05" w:rsidP="00247E05">
            <w:pPr>
              <w:jc w:val="center"/>
              <w:rPr>
                <w:rFonts w:ascii="Times New Roman" w:hAnsi="Times New Roman"/>
                <w:bCs/>
                <w:sz w:val="20"/>
                <w:lang w:val="es-ES_tradnl"/>
              </w:rPr>
            </w:pPr>
            <w:r w:rsidRPr="005E1068">
              <w:rPr>
                <w:rFonts w:ascii="Times New Roman" w:hAnsi="Times New Roman"/>
                <w:bCs/>
                <w:sz w:val="20"/>
              </w:rPr>
              <w:t>Ocupación laboral agrícola pasada</w:t>
            </w:r>
          </w:p>
        </w:tc>
        <w:tc>
          <w:tcPr>
            <w:tcW w:w="909" w:type="dxa"/>
            <w:shd w:val="clear" w:color="auto" w:fill="FFFFFF" w:themeFill="background1"/>
            <w:vAlign w:val="center"/>
          </w:tcPr>
          <w:p w14:paraId="20BEA558" w14:textId="77777777" w:rsidR="00C528D3" w:rsidRPr="005E1068" w:rsidRDefault="00C528D3" w:rsidP="00247E05">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9.77</w:t>
            </w:r>
          </w:p>
        </w:tc>
        <w:tc>
          <w:tcPr>
            <w:tcW w:w="1170" w:type="dxa"/>
            <w:shd w:val="clear" w:color="auto" w:fill="FFFFFF" w:themeFill="background1"/>
            <w:vAlign w:val="center"/>
          </w:tcPr>
          <w:p w14:paraId="4CD9F12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7.85-11.69</w:t>
            </w:r>
          </w:p>
        </w:tc>
        <w:tc>
          <w:tcPr>
            <w:tcW w:w="898" w:type="dxa"/>
            <w:shd w:val="clear" w:color="auto" w:fill="FFFFFF" w:themeFill="background1"/>
            <w:vAlign w:val="center"/>
          </w:tcPr>
          <w:p w14:paraId="6004D98D"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3.58</w:t>
            </w:r>
          </w:p>
        </w:tc>
        <w:tc>
          <w:tcPr>
            <w:tcW w:w="1238" w:type="dxa"/>
            <w:shd w:val="clear" w:color="auto" w:fill="FFFFFF" w:themeFill="background1"/>
            <w:vAlign w:val="center"/>
          </w:tcPr>
          <w:p w14:paraId="351AF082"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3.14-4.02</w:t>
            </w:r>
          </w:p>
        </w:tc>
        <w:tc>
          <w:tcPr>
            <w:tcW w:w="1314" w:type="dxa"/>
            <w:shd w:val="clear" w:color="auto" w:fill="FFFFFF" w:themeFill="background1"/>
            <w:vAlign w:val="center"/>
          </w:tcPr>
          <w:p w14:paraId="65896F7C"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6.19</w:t>
            </w:r>
          </w:p>
        </w:tc>
        <w:tc>
          <w:tcPr>
            <w:tcW w:w="960" w:type="dxa"/>
            <w:shd w:val="clear" w:color="auto" w:fill="FFFFFF" w:themeFill="background1"/>
            <w:vAlign w:val="center"/>
          </w:tcPr>
          <w:p w14:paraId="6486D417"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6.11-6.27</w:t>
            </w:r>
          </w:p>
        </w:tc>
        <w:tc>
          <w:tcPr>
            <w:tcW w:w="990" w:type="dxa"/>
            <w:shd w:val="clear" w:color="auto" w:fill="FFFFFF" w:themeFill="background1"/>
            <w:vAlign w:val="center"/>
          </w:tcPr>
          <w:p w14:paraId="238373B6"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7.52</w:t>
            </w:r>
          </w:p>
        </w:tc>
        <w:tc>
          <w:tcPr>
            <w:tcW w:w="1170" w:type="dxa"/>
            <w:shd w:val="clear" w:color="auto" w:fill="FFFFFF" w:themeFill="background1"/>
            <w:vAlign w:val="center"/>
          </w:tcPr>
          <w:p w14:paraId="04FAE28A"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3.79-11.25</w:t>
            </w:r>
          </w:p>
        </w:tc>
        <w:tc>
          <w:tcPr>
            <w:tcW w:w="900" w:type="dxa"/>
            <w:shd w:val="clear" w:color="auto" w:fill="FFFFFF" w:themeFill="background1"/>
            <w:vAlign w:val="center"/>
          </w:tcPr>
          <w:p w14:paraId="27D17E4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3.46</w:t>
            </w:r>
          </w:p>
        </w:tc>
        <w:tc>
          <w:tcPr>
            <w:tcW w:w="1056" w:type="dxa"/>
            <w:shd w:val="clear" w:color="auto" w:fill="FFFFFF" w:themeFill="background1"/>
            <w:vAlign w:val="center"/>
          </w:tcPr>
          <w:p w14:paraId="2AE75CB1"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3.02-3.91</w:t>
            </w:r>
          </w:p>
        </w:tc>
        <w:tc>
          <w:tcPr>
            <w:tcW w:w="1170" w:type="dxa"/>
            <w:shd w:val="clear" w:color="auto" w:fill="FFFFFF" w:themeFill="background1"/>
            <w:vAlign w:val="center"/>
          </w:tcPr>
          <w:p w14:paraId="08DBAA6D"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4.06</w:t>
            </w:r>
          </w:p>
        </w:tc>
        <w:tc>
          <w:tcPr>
            <w:tcW w:w="1014" w:type="dxa"/>
            <w:gridSpan w:val="2"/>
            <w:shd w:val="clear" w:color="auto" w:fill="FFFFFF" w:themeFill="background1"/>
            <w:vAlign w:val="center"/>
          </w:tcPr>
          <w:p w14:paraId="6E25CCF2"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3.76-4.36</w:t>
            </w:r>
          </w:p>
        </w:tc>
      </w:tr>
      <w:tr w:rsidR="00C528D3" w:rsidRPr="005E1068" w14:paraId="59D81F48" w14:textId="77777777" w:rsidTr="00247E05">
        <w:trPr>
          <w:jc w:val="center"/>
        </w:trPr>
        <w:tc>
          <w:tcPr>
            <w:tcW w:w="1696" w:type="dxa"/>
            <w:shd w:val="clear" w:color="auto" w:fill="auto"/>
            <w:vAlign w:val="center"/>
          </w:tcPr>
          <w:p w14:paraId="5F7B5D22" w14:textId="0913592E" w:rsidR="00C528D3" w:rsidRPr="005E1068" w:rsidRDefault="00247E05" w:rsidP="00247E05">
            <w:pPr>
              <w:jc w:val="center"/>
              <w:rPr>
                <w:rFonts w:ascii="Times New Roman" w:hAnsi="Times New Roman"/>
                <w:bCs/>
                <w:sz w:val="20"/>
              </w:rPr>
            </w:pPr>
            <w:r w:rsidRPr="005E1068">
              <w:rPr>
                <w:rFonts w:ascii="Times New Roman" w:hAnsi="Times New Roman"/>
                <w:bCs/>
                <w:sz w:val="20"/>
                <w:lang w:val="es-ES_tradnl"/>
              </w:rPr>
              <w:t>Exposición laboral específicamente relacionada con agroquímicos</w:t>
            </w:r>
          </w:p>
        </w:tc>
        <w:tc>
          <w:tcPr>
            <w:tcW w:w="909" w:type="dxa"/>
            <w:shd w:val="clear" w:color="auto" w:fill="FFFFFF" w:themeFill="background1"/>
            <w:vAlign w:val="center"/>
          </w:tcPr>
          <w:p w14:paraId="1AB0BFEA" w14:textId="77777777" w:rsidR="00C528D3" w:rsidRPr="005E1068" w:rsidRDefault="00C528D3" w:rsidP="00247E05">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9.52</w:t>
            </w:r>
          </w:p>
        </w:tc>
        <w:tc>
          <w:tcPr>
            <w:tcW w:w="1170" w:type="dxa"/>
            <w:shd w:val="clear" w:color="auto" w:fill="FFFFFF" w:themeFill="background1"/>
            <w:vAlign w:val="center"/>
          </w:tcPr>
          <w:p w14:paraId="09BF305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7.39-11.64</w:t>
            </w:r>
          </w:p>
        </w:tc>
        <w:tc>
          <w:tcPr>
            <w:tcW w:w="898" w:type="dxa"/>
            <w:shd w:val="clear" w:color="auto" w:fill="FFFFFF" w:themeFill="background1"/>
            <w:vAlign w:val="center"/>
          </w:tcPr>
          <w:p w14:paraId="06ADC276"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4.06</w:t>
            </w:r>
          </w:p>
        </w:tc>
        <w:tc>
          <w:tcPr>
            <w:tcW w:w="1238" w:type="dxa"/>
            <w:shd w:val="clear" w:color="auto" w:fill="FFFFFF" w:themeFill="background1"/>
            <w:vAlign w:val="center"/>
          </w:tcPr>
          <w:p w14:paraId="5309E855"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3.44-4.68</w:t>
            </w:r>
          </w:p>
        </w:tc>
        <w:tc>
          <w:tcPr>
            <w:tcW w:w="1314" w:type="dxa"/>
            <w:shd w:val="clear" w:color="auto" w:fill="FFFFFF" w:themeFill="background1"/>
            <w:vAlign w:val="center"/>
          </w:tcPr>
          <w:p w14:paraId="3E22D8F3"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5.46</w:t>
            </w:r>
          </w:p>
        </w:tc>
        <w:tc>
          <w:tcPr>
            <w:tcW w:w="960" w:type="dxa"/>
            <w:shd w:val="clear" w:color="auto" w:fill="FFFFFF" w:themeFill="background1"/>
            <w:vAlign w:val="center"/>
          </w:tcPr>
          <w:p w14:paraId="59E9B479"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5.37-5.55</w:t>
            </w:r>
          </w:p>
        </w:tc>
        <w:tc>
          <w:tcPr>
            <w:tcW w:w="990" w:type="dxa"/>
            <w:shd w:val="clear" w:color="auto" w:fill="FFFFFF" w:themeFill="background1"/>
            <w:vAlign w:val="center"/>
          </w:tcPr>
          <w:p w14:paraId="75BD69C2"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11.86</w:t>
            </w:r>
          </w:p>
        </w:tc>
        <w:tc>
          <w:tcPr>
            <w:tcW w:w="1170" w:type="dxa"/>
            <w:shd w:val="clear" w:color="auto" w:fill="FFFFFF" w:themeFill="background1"/>
            <w:vAlign w:val="center"/>
          </w:tcPr>
          <w:p w14:paraId="7E8F359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7.66-16.06</w:t>
            </w:r>
          </w:p>
        </w:tc>
        <w:tc>
          <w:tcPr>
            <w:tcW w:w="900" w:type="dxa"/>
            <w:shd w:val="clear" w:color="auto" w:fill="FFFFFF" w:themeFill="background1"/>
            <w:vAlign w:val="center"/>
          </w:tcPr>
          <w:p w14:paraId="5707639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4.05</w:t>
            </w:r>
          </w:p>
        </w:tc>
        <w:tc>
          <w:tcPr>
            <w:tcW w:w="1056" w:type="dxa"/>
            <w:shd w:val="clear" w:color="auto" w:fill="FFFFFF" w:themeFill="background1"/>
            <w:vAlign w:val="center"/>
          </w:tcPr>
          <w:p w14:paraId="5184057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3.32-4.78</w:t>
            </w:r>
          </w:p>
        </w:tc>
        <w:tc>
          <w:tcPr>
            <w:tcW w:w="1170" w:type="dxa"/>
            <w:shd w:val="clear" w:color="auto" w:fill="FFFFFF" w:themeFill="background1"/>
            <w:vAlign w:val="center"/>
          </w:tcPr>
          <w:p w14:paraId="50D3C615"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7.81</w:t>
            </w:r>
          </w:p>
        </w:tc>
        <w:tc>
          <w:tcPr>
            <w:tcW w:w="1014" w:type="dxa"/>
            <w:gridSpan w:val="2"/>
            <w:shd w:val="clear" w:color="auto" w:fill="FFFFFF" w:themeFill="background1"/>
            <w:vAlign w:val="center"/>
          </w:tcPr>
          <w:p w14:paraId="6762F183"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7.48-8.14</w:t>
            </w:r>
          </w:p>
        </w:tc>
      </w:tr>
      <w:tr w:rsidR="00C528D3" w:rsidRPr="005E1068" w14:paraId="69C23935" w14:textId="77777777" w:rsidTr="00247E05">
        <w:trPr>
          <w:jc w:val="center"/>
        </w:trPr>
        <w:tc>
          <w:tcPr>
            <w:tcW w:w="1696" w:type="dxa"/>
            <w:shd w:val="clear" w:color="auto" w:fill="auto"/>
            <w:vAlign w:val="center"/>
          </w:tcPr>
          <w:p w14:paraId="5334EE30" w14:textId="54E7C073" w:rsidR="00C528D3" w:rsidRPr="005E1068" w:rsidRDefault="00247E05" w:rsidP="00247E05">
            <w:pPr>
              <w:jc w:val="center"/>
              <w:rPr>
                <w:rFonts w:ascii="Times New Roman" w:hAnsi="Times New Roman"/>
                <w:bCs/>
                <w:sz w:val="20"/>
              </w:rPr>
            </w:pPr>
            <w:r w:rsidRPr="005E1068">
              <w:rPr>
                <w:rFonts w:ascii="Times New Roman" w:hAnsi="Times New Roman"/>
                <w:bCs/>
                <w:sz w:val="20"/>
              </w:rPr>
              <w:t>Consumo de agua de pozo, manantial o río</w:t>
            </w:r>
          </w:p>
        </w:tc>
        <w:tc>
          <w:tcPr>
            <w:tcW w:w="909" w:type="dxa"/>
            <w:shd w:val="clear" w:color="auto" w:fill="FFFFFF" w:themeFill="background1"/>
            <w:vAlign w:val="center"/>
          </w:tcPr>
          <w:p w14:paraId="30A289E5" w14:textId="77777777" w:rsidR="00C528D3" w:rsidRPr="005E1068" w:rsidRDefault="00C528D3" w:rsidP="00247E05">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20.56</w:t>
            </w:r>
          </w:p>
        </w:tc>
        <w:tc>
          <w:tcPr>
            <w:tcW w:w="1170" w:type="dxa"/>
            <w:shd w:val="clear" w:color="auto" w:fill="FFFFFF" w:themeFill="background1"/>
            <w:vAlign w:val="center"/>
          </w:tcPr>
          <w:p w14:paraId="6690E397"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17.76-23.37</w:t>
            </w:r>
          </w:p>
        </w:tc>
        <w:tc>
          <w:tcPr>
            <w:tcW w:w="898" w:type="dxa"/>
            <w:shd w:val="clear" w:color="auto" w:fill="FFFFFF" w:themeFill="background1"/>
            <w:vAlign w:val="center"/>
          </w:tcPr>
          <w:p w14:paraId="5F780A0B"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12.15</w:t>
            </w:r>
          </w:p>
        </w:tc>
        <w:tc>
          <w:tcPr>
            <w:tcW w:w="1238" w:type="dxa"/>
            <w:shd w:val="clear" w:color="auto" w:fill="FFFFFF" w:themeFill="background1"/>
            <w:vAlign w:val="center"/>
          </w:tcPr>
          <w:p w14:paraId="1B26414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10.98-13.33</w:t>
            </w:r>
          </w:p>
        </w:tc>
        <w:tc>
          <w:tcPr>
            <w:tcW w:w="1314" w:type="dxa"/>
            <w:shd w:val="clear" w:color="auto" w:fill="FFFFFF" w:themeFill="background1"/>
            <w:vAlign w:val="center"/>
          </w:tcPr>
          <w:p w14:paraId="25A42A19"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8.41</w:t>
            </w:r>
          </w:p>
        </w:tc>
        <w:tc>
          <w:tcPr>
            <w:tcW w:w="960" w:type="dxa"/>
            <w:shd w:val="clear" w:color="auto" w:fill="FFFFFF" w:themeFill="background1"/>
            <w:vAlign w:val="center"/>
          </w:tcPr>
          <w:p w14:paraId="25EFD5FA"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8.29-8.53</w:t>
            </w:r>
          </w:p>
        </w:tc>
        <w:tc>
          <w:tcPr>
            <w:tcW w:w="990" w:type="dxa"/>
            <w:shd w:val="clear" w:color="auto" w:fill="FFFFFF" w:themeFill="background1"/>
            <w:vAlign w:val="center"/>
          </w:tcPr>
          <w:p w14:paraId="7CF0A9F0"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21.41</w:t>
            </w:r>
          </w:p>
        </w:tc>
        <w:tc>
          <w:tcPr>
            <w:tcW w:w="1170" w:type="dxa"/>
            <w:shd w:val="clear" w:color="auto" w:fill="FFFFFF" w:themeFill="background1"/>
            <w:vAlign w:val="center"/>
          </w:tcPr>
          <w:p w14:paraId="37B45F63"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16.44-26.37</w:t>
            </w:r>
          </w:p>
        </w:tc>
        <w:tc>
          <w:tcPr>
            <w:tcW w:w="900" w:type="dxa"/>
            <w:shd w:val="clear" w:color="auto" w:fill="FFFFFF" w:themeFill="background1"/>
            <w:vAlign w:val="center"/>
          </w:tcPr>
          <w:p w14:paraId="1DBC34E7"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11.30</w:t>
            </w:r>
          </w:p>
        </w:tc>
        <w:tc>
          <w:tcPr>
            <w:tcW w:w="1056" w:type="dxa"/>
            <w:shd w:val="clear" w:color="auto" w:fill="FFFFFF" w:themeFill="background1"/>
            <w:vAlign w:val="center"/>
          </w:tcPr>
          <w:p w14:paraId="584656E3"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9.96-12.63</w:t>
            </w:r>
          </w:p>
        </w:tc>
        <w:tc>
          <w:tcPr>
            <w:tcW w:w="1170" w:type="dxa"/>
            <w:shd w:val="clear" w:color="auto" w:fill="FFFFFF" w:themeFill="background1"/>
            <w:vAlign w:val="center"/>
          </w:tcPr>
          <w:p w14:paraId="1D801B8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10.11</w:t>
            </w:r>
          </w:p>
        </w:tc>
        <w:tc>
          <w:tcPr>
            <w:tcW w:w="1014" w:type="dxa"/>
            <w:gridSpan w:val="2"/>
            <w:shd w:val="clear" w:color="auto" w:fill="FFFFFF" w:themeFill="background1"/>
            <w:vAlign w:val="center"/>
          </w:tcPr>
          <w:p w14:paraId="56ADEF4D"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9.72-10.50</w:t>
            </w:r>
          </w:p>
        </w:tc>
      </w:tr>
      <w:tr w:rsidR="00C528D3" w:rsidRPr="005E1068" w14:paraId="494843C4" w14:textId="77777777" w:rsidTr="00247E05">
        <w:trPr>
          <w:jc w:val="center"/>
        </w:trPr>
        <w:tc>
          <w:tcPr>
            <w:tcW w:w="1696" w:type="dxa"/>
            <w:shd w:val="clear" w:color="auto" w:fill="auto"/>
            <w:vAlign w:val="center"/>
          </w:tcPr>
          <w:p w14:paraId="5B199718" w14:textId="05F5E924" w:rsidR="00C528D3" w:rsidRPr="005E1068" w:rsidRDefault="00247E05" w:rsidP="00247E05">
            <w:pPr>
              <w:jc w:val="center"/>
              <w:rPr>
                <w:rFonts w:ascii="Times New Roman" w:hAnsi="Times New Roman"/>
                <w:bCs/>
                <w:sz w:val="20"/>
              </w:rPr>
            </w:pPr>
            <w:r w:rsidRPr="005E1068">
              <w:rPr>
                <w:rFonts w:ascii="Times New Roman" w:hAnsi="Times New Roman"/>
                <w:bCs/>
                <w:sz w:val="20"/>
              </w:rPr>
              <w:t>Almacenamiento de productos y equipos de fumigación en la vivienda</w:t>
            </w:r>
          </w:p>
        </w:tc>
        <w:tc>
          <w:tcPr>
            <w:tcW w:w="909" w:type="dxa"/>
            <w:shd w:val="clear" w:color="auto" w:fill="FFFFFF" w:themeFill="background1"/>
            <w:vAlign w:val="center"/>
          </w:tcPr>
          <w:p w14:paraId="7FC662AF" w14:textId="77777777" w:rsidR="00C528D3" w:rsidRPr="005E1068" w:rsidRDefault="00C528D3" w:rsidP="00247E05">
            <w:pPr>
              <w:spacing w:line="360" w:lineRule="auto"/>
              <w:jc w:val="center"/>
              <w:rPr>
                <w:rFonts w:ascii="Times New Roman" w:hAnsi="Times New Roman"/>
                <w:sz w:val="20"/>
                <w:szCs w:val="20"/>
                <w:lang w:val="en-US"/>
              </w:rPr>
            </w:pPr>
            <w:r w:rsidRPr="005E1068">
              <w:rPr>
                <w:rFonts w:ascii="Times New Roman" w:hAnsi="Times New Roman"/>
                <w:sz w:val="20"/>
                <w:szCs w:val="20"/>
                <w:lang w:val="en-US"/>
              </w:rPr>
              <w:t>7.81</w:t>
            </w:r>
          </w:p>
        </w:tc>
        <w:tc>
          <w:tcPr>
            <w:tcW w:w="1170" w:type="dxa"/>
            <w:shd w:val="clear" w:color="auto" w:fill="FFFFFF" w:themeFill="background1"/>
            <w:vAlign w:val="center"/>
          </w:tcPr>
          <w:p w14:paraId="78C4D426"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6.27-9.35</w:t>
            </w:r>
          </w:p>
        </w:tc>
        <w:tc>
          <w:tcPr>
            <w:tcW w:w="898" w:type="dxa"/>
            <w:shd w:val="clear" w:color="auto" w:fill="FFFFFF" w:themeFill="background1"/>
            <w:vAlign w:val="center"/>
          </w:tcPr>
          <w:p w14:paraId="320BAA52"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4.66</w:t>
            </w:r>
          </w:p>
        </w:tc>
        <w:tc>
          <w:tcPr>
            <w:tcW w:w="1238" w:type="dxa"/>
            <w:shd w:val="clear" w:color="auto" w:fill="FFFFFF" w:themeFill="background1"/>
            <w:vAlign w:val="center"/>
          </w:tcPr>
          <w:p w14:paraId="0491D0A7"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4.03-5.29</w:t>
            </w:r>
          </w:p>
        </w:tc>
        <w:tc>
          <w:tcPr>
            <w:tcW w:w="1314" w:type="dxa"/>
            <w:shd w:val="clear" w:color="auto" w:fill="FFFFFF" w:themeFill="background1"/>
            <w:vAlign w:val="center"/>
          </w:tcPr>
          <w:p w14:paraId="68FE475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3.15</w:t>
            </w:r>
          </w:p>
        </w:tc>
        <w:tc>
          <w:tcPr>
            <w:tcW w:w="960" w:type="dxa"/>
            <w:shd w:val="clear" w:color="auto" w:fill="FFFFFF" w:themeFill="background1"/>
            <w:vAlign w:val="center"/>
          </w:tcPr>
          <w:p w14:paraId="7E04E3E5"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3.08-3.22</w:t>
            </w:r>
          </w:p>
        </w:tc>
        <w:tc>
          <w:tcPr>
            <w:tcW w:w="990" w:type="dxa"/>
            <w:shd w:val="clear" w:color="auto" w:fill="FFFFFF" w:themeFill="background1"/>
            <w:vAlign w:val="center"/>
          </w:tcPr>
          <w:p w14:paraId="1CA7C6F9"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9.34</w:t>
            </w:r>
          </w:p>
        </w:tc>
        <w:tc>
          <w:tcPr>
            <w:tcW w:w="1170" w:type="dxa"/>
            <w:shd w:val="clear" w:color="auto" w:fill="FFFFFF" w:themeFill="background1"/>
            <w:vAlign w:val="center"/>
          </w:tcPr>
          <w:p w14:paraId="6B88FED1"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6.79-11.90</w:t>
            </w:r>
          </w:p>
        </w:tc>
        <w:tc>
          <w:tcPr>
            <w:tcW w:w="900" w:type="dxa"/>
            <w:shd w:val="clear" w:color="auto" w:fill="FFFFFF" w:themeFill="background1"/>
            <w:vAlign w:val="center"/>
          </w:tcPr>
          <w:p w14:paraId="01A49942"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4.97</w:t>
            </w:r>
          </w:p>
        </w:tc>
        <w:tc>
          <w:tcPr>
            <w:tcW w:w="1056" w:type="dxa"/>
            <w:shd w:val="clear" w:color="auto" w:fill="FFFFFF" w:themeFill="background1"/>
            <w:vAlign w:val="center"/>
          </w:tcPr>
          <w:p w14:paraId="229819D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4.24-5.69</w:t>
            </w:r>
          </w:p>
        </w:tc>
        <w:tc>
          <w:tcPr>
            <w:tcW w:w="1170" w:type="dxa"/>
            <w:shd w:val="clear" w:color="auto" w:fill="FFFFFF" w:themeFill="background1"/>
            <w:vAlign w:val="center"/>
          </w:tcPr>
          <w:p w14:paraId="40254FE3"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4.37</w:t>
            </w:r>
          </w:p>
        </w:tc>
        <w:tc>
          <w:tcPr>
            <w:tcW w:w="1014" w:type="dxa"/>
            <w:gridSpan w:val="2"/>
            <w:shd w:val="clear" w:color="auto" w:fill="FFFFFF" w:themeFill="background1"/>
            <w:vAlign w:val="center"/>
          </w:tcPr>
          <w:p w14:paraId="72768E91"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4.16-4.58</w:t>
            </w:r>
          </w:p>
        </w:tc>
      </w:tr>
      <w:tr w:rsidR="00C528D3" w:rsidRPr="005E1068" w14:paraId="4981E7A3" w14:textId="77777777" w:rsidTr="00247E05">
        <w:trPr>
          <w:jc w:val="center"/>
        </w:trPr>
        <w:tc>
          <w:tcPr>
            <w:tcW w:w="1696" w:type="dxa"/>
            <w:shd w:val="clear" w:color="auto" w:fill="auto"/>
            <w:vAlign w:val="center"/>
          </w:tcPr>
          <w:p w14:paraId="745C900A" w14:textId="3158329E" w:rsidR="00C528D3" w:rsidRPr="005E1068" w:rsidRDefault="00247E05" w:rsidP="00247E05">
            <w:pPr>
              <w:jc w:val="center"/>
              <w:rPr>
                <w:rFonts w:ascii="Times New Roman" w:hAnsi="Times New Roman"/>
                <w:bCs/>
                <w:sz w:val="20"/>
              </w:rPr>
            </w:pPr>
            <w:r w:rsidRPr="005E1068">
              <w:rPr>
                <w:rFonts w:ascii="Times New Roman" w:hAnsi="Times New Roman"/>
                <w:bCs/>
                <w:sz w:val="20"/>
              </w:rPr>
              <w:t>Exposición a fumigación aérea agroquímica en su área de trabajo o residencia</w:t>
            </w:r>
          </w:p>
        </w:tc>
        <w:tc>
          <w:tcPr>
            <w:tcW w:w="909" w:type="dxa"/>
            <w:shd w:val="clear" w:color="auto" w:fill="FFFFFF" w:themeFill="background1"/>
            <w:vAlign w:val="center"/>
          </w:tcPr>
          <w:p w14:paraId="1E0EC7AC"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1.00</w:t>
            </w:r>
          </w:p>
        </w:tc>
        <w:tc>
          <w:tcPr>
            <w:tcW w:w="1170" w:type="dxa"/>
            <w:shd w:val="clear" w:color="auto" w:fill="FFFFFF" w:themeFill="background1"/>
            <w:vAlign w:val="center"/>
          </w:tcPr>
          <w:p w14:paraId="380EC4A9"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0.61-1.38</w:t>
            </w:r>
          </w:p>
        </w:tc>
        <w:tc>
          <w:tcPr>
            <w:tcW w:w="898" w:type="dxa"/>
            <w:shd w:val="clear" w:color="auto" w:fill="FFFFFF" w:themeFill="background1"/>
            <w:vAlign w:val="center"/>
          </w:tcPr>
          <w:p w14:paraId="299B638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0.45</w:t>
            </w:r>
          </w:p>
        </w:tc>
        <w:tc>
          <w:tcPr>
            <w:tcW w:w="1238" w:type="dxa"/>
            <w:shd w:val="clear" w:color="auto" w:fill="FFFFFF" w:themeFill="background1"/>
            <w:vAlign w:val="center"/>
          </w:tcPr>
          <w:p w14:paraId="49472876"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0.32-0.58</w:t>
            </w:r>
          </w:p>
        </w:tc>
        <w:tc>
          <w:tcPr>
            <w:tcW w:w="1314" w:type="dxa"/>
            <w:shd w:val="clear" w:color="auto" w:fill="FFFFFF" w:themeFill="background1"/>
            <w:vAlign w:val="center"/>
          </w:tcPr>
          <w:p w14:paraId="49E80398"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0.55</w:t>
            </w:r>
          </w:p>
        </w:tc>
        <w:tc>
          <w:tcPr>
            <w:tcW w:w="960" w:type="dxa"/>
            <w:shd w:val="clear" w:color="auto" w:fill="FFFFFF" w:themeFill="background1"/>
            <w:vAlign w:val="center"/>
          </w:tcPr>
          <w:p w14:paraId="64DEB80E"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0.53-0.57</w:t>
            </w:r>
          </w:p>
        </w:tc>
        <w:tc>
          <w:tcPr>
            <w:tcW w:w="990" w:type="dxa"/>
            <w:shd w:val="clear" w:color="auto" w:fill="FFFFFF" w:themeFill="background1"/>
            <w:vAlign w:val="center"/>
          </w:tcPr>
          <w:p w14:paraId="4F47E91F"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1.20</w:t>
            </w:r>
          </w:p>
        </w:tc>
        <w:tc>
          <w:tcPr>
            <w:tcW w:w="1170" w:type="dxa"/>
            <w:shd w:val="clear" w:color="auto" w:fill="FFFFFF" w:themeFill="background1"/>
            <w:vAlign w:val="center"/>
          </w:tcPr>
          <w:p w14:paraId="14C723A7"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0.17-2.22</w:t>
            </w:r>
          </w:p>
        </w:tc>
        <w:tc>
          <w:tcPr>
            <w:tcW w:w="900" w:type="dxa"/>
            <w:shd w:val="clear" w:color="auto" w:fill="FFFFFF" w:themeFill="background1"/>
            <w:vAlign w:val="center"/>
          </w:tcPr>
          <w:p w14:paraId="36AF8BE5"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0.39</w:t>
            </w:r>
          </w:p>
        </w:tc>
        <w:tc>
          <w:tcPr>
            <w:tcW w:w="1056" w:type="dxa"/>
            <w:shd w:val="clear" w:color="auto" w:fill="FFFFFF" w:themeFill="background1"/>
            <w:vAlign w:val="center"/>
          </w:tcPr>
          <w:p w14:paraId="07969BF3"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0.24-0.54</w:t>
            </w:r>
          </w:p>
        </w:tc>
        <w:tc>
          <w:tcPr>
            <w:tcW w:w="1170" w:type="dxa"/>
            <w:shd w:val="clear" w:color="auto" w:fill="FFFFFF" w:themeFill="background1"/>
            <w:vAlign w:val="center"/>
          </w:tcPr>
          <w:p w14:paraId="37E95EE4"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0.81</w:t>
            </w:r>
          </w:p>
        </w:tc>
        <w:tc>
          <w:tcPr>
            <w:tcW w:w="1014" w:type="dxa"/>
            <w:gridSpan w:val="2"/>
            <w:shd w:val="clear" w:color="auto" w:fill="FFFFFF" w:themeFill="background1"/>
            <w:vAlign w:val="center"/>
          </w:tcPr>
          <w:p w14:paraId="0EEA31B7" w14:textId="77777777" w:rsidR="00C528D3" w:rsidRPr="005E1068" w:rsidRDefault="00C528D3" w:rsidP="00247E05">
            <w:pPr>
              <w:spacing w:line="360" w:lineRule="auto"/>
              <w:ind w:left="220"/>
              <w:jc w:val="center"/>
              <w:rPr>
                <w:rFonts w:ascii="Times New Roman" w:hAnsi="Times New Roman"/>
                <w:sz w:val="20"/>
                <w:szCs w:val="20"/>
                <w:lang w:val="en-US"/>
              </w:rPr>
            </w:pPr>
            <w:r w:rsidRPr="005E1068">
              <w:rPr>
                <w:rFonts w:ascii="Times New Roman" w:hAnsi="Times New Roman"/>
                <w:sz w:val="20"/>
                <w:szCs w:val="20"/>
                <w:lang w:val="en-US"/>
              </w:rPr>
              <w:t>0.73-0.89</w:t>
            </w:r>
          </w:p>
        </w:tc>
      </w:tr>
    </w:tbl>
    <w:p w14:paraId="17A02DDC" w14:textId="77777777" w:rsidR="007332C8" w:rsidRPr="005E1068" w:rsidRDefault="007332C8" w:rsidP="007332C8">
      <w:pPr>
        <w:rPr>
          <w:rFonts w:ascii="Times New Roman" w:hAnsi="Times New Roman"/>
          <w:sz w:val="24"/>
          <w:szCs w:val="24"/>
          <w:lang w:val="en-US"/>
        </w:rPr>
      </w:pPr>
    </w:p>
    <w:p w14:paraId="2F4CEF4E" w14:textId="2ECE80AE" w:rsidR="005B56E3" w:rsidRPr="005E1068" w:rsidRDefault="005B56E3" w:rsidP="00695F35">
      <w:pPr>
        <w:spacing w:after="0" w:line="240" w:lineRule="auto"/>
        <w:jc w:val="both"/>
        <w:rPr>
          <w:rFonts w:ascii="Times New Roman" w:hAnsi="Times New Roman"/>
          <w:sz w:val="24"/>
          <w:szCs w:val="24"/>
        </w:rPr>
      </w:pPr>
      <w:r w:rsidRPr="005E1068">
        <w:rPr>
          <w:rFonts w:ascii="Times New Roman" w:hAnsi="Times New Roman"/>
          <w:sz w:val="24"/>
          <w:szCs w:val="24"/>
        </w:rPr>
        <w:t>Tabla 3. OR de acuerdo con dos magnitudes de exposición a agroquímicos y a condiciones asociadas a ellos, con respecto a padecer ERC y ERCnT, en la población adulta de El Salvador. ENECA-ELS 2015.</w:t>
      </w:r>
    </w:p>
    <w:p w14:paraId="24419A98" w14:textId="77777777" w:rsidR="007332C8" w:rsidRPr="005E1068" w:rsidRDefault="007332C8" w:rsidP="007332C8">
      <w:pPr>
        <w:rPr>
          <w:rFonts w:ascii="Times New Roman" w:hAnsi="Times New Roman"/>
          <w:bCs/>
          <w:sz w:val="24"/>
          <w:szCs w:val="24"/>
        </w:rPr>
      </w:pPr>
    </w:p>
    <w:tbl>
      <w:tblPr>
        <w:tblStyle w:val="Tablaconcuadrcula"/>
        <w:tblW w:w="0" w:type="auto"/>
        <w:jc w:val="center"/>
        <w:tblLook w:val="04A0" w:firstRow="1" w:lastRow="0" w:firstColumn="1" w:lastColumn="0" w:noHBand="0" w:noVBand="1"/>
      </w:tblPr>
      <w:tblGrid>
        <w:gridCol w:w="2208"/>
        <w:gridCol w:w="1477"/>
        <w:gridCol w:w="1710"/>
        <w:gridCol w:w="1620"/>
        <w:gridCol w:w="1710"/>
      </w:tblGrid>
      <w:tr w:rsidR="007332C8" w:rsidRPr="005E1068" w14:paraId="19B99E3B" w14:textId="77777777" w:rsidTr="007332C8">
        <w:trPr>
          <w:jc w:val="center"/>
        </w:trPr>
        <w:tc>
          <w:tcPr>
            <w:tcW w:w="2208" w:type="dxa"/>
            <w:vMerge w:val="restart"/>
            <w:vAlign w:val="center"/>
          </w:tcPr>
          <w:p w14:paraId="03D49157" w14:textId="52634689" w:rsidR="007332C8" w:rsidRPr="005E1068" w:rsidRDefault="005B56E3" w:rsidP="0062090C">
            <w:pPr>
              <w:rPr>
                <w:rFonts w:ascii="Times New Roman" w:hAnsi="Times New Roman"/>
                <w:bCs/>
                <w:sz w:val="20"/>
              </w:rPr>
            </w:pPr>
            <w:r w:rsidRPr="005E1068">
              <w:rPr>
                <w:rFonts w:ascii="Times New Roman" w:hAnsi="Times New Roman"/>
                <w:sz w:val="24"/>
                <w:szCs w:val="24"/>
              </w:rPr>
              <w:t xml:space="preserve">Variables para las que se midieron tiempos de </w:t>
            </w:r>
            <w:r w:rsidRPr="005E1068">
              <w:rPr>
                <w:rFonts w:ascii="Times New Roman" w:hAnsi="Times New Roman"/>
                <w:bCs/>
                <w:sz w:val="24"/>
                <w:szCs w:val="24"/>
              </w:rPr>
              <w:t>exposición</w:t>
            </w:r>
          </w:p>
        </w:tc>
        <w:tc>
          <w:tcPr>
            <w:tcW w:w="3187" w:type="dxa"/>
            <w:gridSpan w:val="2"/>
            <w:shd w:val="clear" w:color="auto" w:fill="E5B8B7" w:themeFill="accent2" w:themeFillTint="66"/>
          </w:tcPr>
          <w:p w14:paraId="0CD85B19" w14:textId="0DD375D6" w:rsidR="007332C8" w:rsidRPr="005E1068" w:rsidRDefault="005B56E3" w:rsidP="0062090C">
            <w:pPr>
              <w:jc w:val="center"/>
              <w:rPr>
                <w:rFonts w:ascii="Times New Roman" w:hAnsi="Times New Roman"/>
                <w:sz w:val="20"/>
                <w:lang w:val="en-US"/>
              </w:rPr>
            </w:pPr>
            <w:r w:rsidRPr="005E1068">
              <w:rPr>
                <w:rFonts w:ascii="Times New Roman" w:hAnsi="Times New Roman"/>
                <w:sz w:val="20"/>
                <w:szCs w:val="20"/>
                <w:lang w:val="en-US"/>
              </w:rPr>
              <w:t>ERC</w:t>
            </w:r>
          </w:p>
        </w:tc>
        <w:tc>
          <w:tcPr>
            <w:tcW w:w="3330" w:type="dxa"/>
            <w:gridSpan w:val="2"/>
            <w:shd w:val="clear" w:color="auto" w:fill="E5B8B7" w:themeFill="accent2" w:themeFillTint="66"/>
          </w:tcPr>
          <w:p w14:paraId="632B932A" w14:textId="59BE5546" w:rsidR="007332C8" w:rsidRPr="005E1068" w:rsidRDefault="005B56E3" w:rsidP="0062090C">
            <w:pPr>
              <w:jc w:val="center"/>
              <w:rPr>
                <w:rFonts w:ascii="Times New Roman" w:hAnsi="Times New Roman"/>
                <w:sz w:val="20"/>
                <w:lang w:val="en-US"/>
              </w:rPr>
            </w:pPr>
            <w:r w:rsidRPr="005E1068">
              <w:rPr>
                <w:rFonts w:ascii="Times New Roman" w:hAnsi="Times New Roman"/>
                <w:sz w:val="20"/>
                <w:szCs w:val="20"/>
                <w:lang w:val="en-US"/>
              </w:rPr>
              <w:t>ERCnT</w:t>
            </w:r>
          </w:p>
        </w:tc>
      </w:tr>
      <w:tr w:rsidR="007332C8" w:rsidRPr="005E1068" w14:paraId="0EFF512A" w14:textId="77777777" w:rsidTr="007332C8">
        <w:trPr>
          <w:jc w:val="center"/>
        </w:trPr>
        <w:tc>
          <w:tcPr>
            <w:tcW w:w="2208" w:type="dxa"/>
            <w:vMerge/>
            <w:vAlign w:val="center"/>
          </w:tcPr>
          <w:p w14:paraId="00F80D76" w14:textId="77777777" w:rsidR="007332C8" w:rsidRPr="005E1068" w:rsidRDefault="007332C8" w:rsidP="0062090C">
            <w:pPr>
              <w:rPr>
                <w:rFonts w:ascii="Times New Roman" w:hAnsi="Times New Roman"/>
                <w:sz w:val="20"/>
                <w:lang w:val="en-US"/>
              </w:rPr>
            </w:pPr>
          </w:p>
        </w:tc>
        <w:tc>
          <w:tcPr>
            <w:tcW w:w="6517" w:type="dxa"/>
            <w:gridSpan w:val="4"/>
          </w:tcPr>
          <w:p w14:paraId="47291B0B" w14:textId="4BDC182C" w:rsidR="007332C8" w:rsidRPr="005E1068" w:rsidRDefault="007332C8" w:rsidP="005B56E3">
            <w:pPr>
              <w:jc w:val="center"/>
              <w:rPr>
                <w:rFonts w:ascii="Times New Roman" w:hAnsi="Times New Roman"/>
                <w:sz w:val="20"/>
              </w:rPr>
            </w:pPr>
            <w:r w:rsidRPr="005E1068">
              <w:rPr>
                <w:rFonts w:ascii="Times New Roman" w:hAnsi="Times New Roman"/>
                <w:sz w:val="20"/>
              </w:rPr>
              <w:t xml:space="preserve">OR </w:t>
            </w:r>
            <w:r w:rsidR="005B56E3" w:rsidRPr="005E1068">
              <w:rPr>
                <w:rFonts w:ascii="Times New Roman" w:hAnsi="Times New Roman"/>
                <w:sz w:val="20"/>
              </w:rPr>
              <w:t>para el tiempo de exposición</w:t>
            </w:r>
            <w:r w:rsidRPr="005E1068">
              <w:rPr>
                <w:rFonts w:ascii="Times New Roman" w:hAnsi="Times New Roman"/>
                <w:sz w:val="20"/>
              </w:rPr>
              <w:t xml:space="preserve"> </w:t>
            </w:r>
            <w:r w:rsidR="005B56E3" w:rsidRPr="005E1068">
              <w:rPr>
                <w:rFonts w:ascii="Times New Roman" w:hAnsi="Times New Roman"/>
                <w:sz w:val="20"/>
                <w:szCs w:val="20"/>
              </w:rPr>
              <w:t>(IC 95%)</w:t>
            </w:r>
          </w:p>
        </w:tc>
      </w:tr>
      <w:tr w:rsidR="005B56E3" w:rsidRPr="005E1068" w14:paraId="2E3196B6" w14:textId="77777777" w:rsidTr="007332C8">
        <w:trPr>
          <w:jc w:val="center"/>
        </w:trPr>
        <w:tc>
          <w:tcPr>
            <w:tcW w:w="2208" w:type="dxa"/>
            <w:vMerge/>
          </w:tcPr>
          <w:p w14:paraId="73D960DE" w14:textId="77777777" w:rsidR="005B56E3" w:rsidRPr="005E1068" w:rsidRDefault="005B56E3" w:rsidP="005B56E3">
            <w:pPr>
              <w:rPr>
                <w:rFonts w:ascii="Times New Roman" w:hAnsi="Times New Roman"/>
                <w:sz w:val="20"/>
              </w:rPr>
            </w:pPr>
          </w:p>
        </w:tc>
        <w:tc>
          <w:tcPr>
            <w:tcW w:w="1477" w:type="dxa"/>
            <w:vAlign w:val="center"/>
          </w:tcPr>
          <w:p w14:paraId="75660FB8" w14:textId="06DD865C"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Al </w:t>
            </w:r>
            <w:proofErr w:type="spellStart"/>
            <w:r w:rsidRPr="005E1068">
              <w:rPr>
                <w:rFonts w:ascii="Times New Roman" w:hAnsi="Times New Roman"/>
                <w:sz w:val="20"/>
                <w:lang w:val="en-US"/>
              </w:rPr>
              <w:t>menos</w:t>
            </w:r>
            <w:proofErr w:type="spellEnd"/>
            <w:r w:rsidRPr="005E1068">
              <w:rPr>
                <w:rFonts w:ascii="Times New Roman" w:hAnsi="Times New Roman"/>
                <w:sz w:val="20"/>
                <w:lang w:val="en-US"/>
              </w:rPr>
              <w:t xml:space="preserve"> 5 </w:t>
            </w:r>
            <w:r w:rsidRPr="005E1068">
              <w:rPr>
                <w:rFonts w:ascii="Times New Roman" w:hAnsi="Times New Roman"/>
                <w:sz w:val="24"/>
              </w:rPr>
              <w:t>años</w:t>
            </w:r>
          </w:p>
        </w:tc>
        <w:tc>
          <w:tcPr>
            <w:tcW w:w="1710" w:type="dxa"/>
            <w:vAlign w:val="center"/>
          </w:tcPr>
          <w:p w14:paraId="6775F569" w14:textId="54E9C7C6"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Al </w:t>
            </w:r>
            <w:proofErr w:type="spellStart"/>
            <w:r w:rsidRPr="005E1068">
              <w:rPr>
                <w:rFonts w:ascii="Times New Roman" w:hAnsi="Times New Roman"/>
                <w:sz w:val="20"/>
                <w:lang w:val="en-US"/>
              </w:rPr>
              <w:t>menos</w:t>
            </w:r>
            <w:proofErr w:type="spellEnd"/>
            <w:r w:rsidRPr="005E1068">
              <w:rPr>
                <w:rFonts w:ascii="Times New Roman" w:hAnsi="Times New Roman"/>
                <w:sz w:val="20"/>
                <w:lang w:val="en-US"/>
              </w:rPr>
              <w:t xml:space="preserve"> 10 </w:t>
            </w:r>
            <w:r w:rsidRPr="005E1068">
              <w:rPr>
                <w:rFonts w:ascii="Times New Roman" w:hAnsi="Times New Roman"/>
                <w:sz w:val="24"/>
              </w:rPr>
              <w:t>años</w:t>
            </w:r>
          </w:p>
        </w:tc>
        <w:tc>
          <w:tcPr>
            <w:tcW w:w="1620" w:type="dxa"/>
            <w:vAlign w:val="center"/>
          </w:tcPr>
          <w:p w14:paraId="3354A8D1" w14:textId="57AB3E5C"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Al </w:t>
            </w:r>
            <w:proofErr w:type="spellStart"/>
            <w:r w:rsidRPr="005E1068">
              <w:rPr>
                <w:rFonts w:ascii="Times New Roman" w:hAnsi="Times New Roman"/>
                <w:sz w:val="20"/>
                <w:lang w:val="en-US"/>
              </w:rPr>
              <w:t>menos</w:t>
            </w:r>
            <w:proofErr w:type="spellEnd"/>
            <w:r w:rsidRPr="005E1068">
              <w:rPr>
                <w:rFonts w:ascii="Times New Roman" w:hAnsi="Times New Roman"/>
                <w:sz w:val="20"/>
                <w:lang w:val="en-US"/>
              </w:rPr>
              <w:t xml:space="preserve"> 5 </w:t>
            </w:r>
            <w:r w:rsidRPr="005E1068">
              <w:rPr>
                <w:rFonts w:ascii="Times New Roman" w:hAnsi="Times New Roman"/>
                <w:sz w:val="24"/>
              </w:rPr>
              <w:t>años</w:t>
            </w:r>
          </w:p>
        </w:tc>
        <w:tc>
          <w:tcPr>
            <w:tcW w:w="1710" w:type="dxa"/>
            <w:vAlign w:val="center"/>
          </w:tcPr>
          <w:p w14:paraId="51DD3470" w14:textId="6C3B407E"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Al </w:t>
            </w:r>
            <w:proofErr w:type="spellStart"/>
            <w:r w:rsidRPr="005E1068">
              <w:rPr>
                <w:rFonts w:ascii="Times New Roman" w:hAnsi="Times New Roman"/>
                <w:sz w:val="20"/>
                <w:lang w:val="en-US"/>
              </w:rPr>
              <w:t>menos</w:t>
            </w:r>
            <w:proofErr w:type="spellEnd"/>
            <w:r w:rsidRPr="005E1068">
              <w:rPr>
                <w:rFonts w:ascii="Times New Roman" w:hAnsi="Times New Roman"/>
                <w:sz w:val="20"/>
                <w:lang w:val="en-US"/>
              </w:rPr>
              <w:t xml:space="preserve"> 10 </w:t>
            </w:r>
            <w:r w:rsidRPr="005E1068">
              <w:rPr>
                <w:rFonts w:ascii="Times New Roman" w:hAnsi="Times New Roman"/>
                <w:sz w:val="24"/>
              </w:rPr>
              <w:t>años</w:t>
            </w:r>
          </w:p>
        </w:tc>
      </w:tr>
      <w:tr w:rsidR="007332C8" w:rsidRPr="005E1068" w14:paraId="382B3041" w14:textId="77777777" w:rsidTr="007332C8">
        <w:trPr>
          <w:jc w:val="center"/>
        </w:trPr>
        <w:tc>
          <w:tcPr>
            <w:tcW w:w="8725" w:type="dxa"/>
            <w:gridSpan w:val="5"/>
            <w:shd w:val="clear" w:color="auto" w:fill="E5B8B7" w:themeFill="accent2" w:themeFillTint="66"/>
            <w:vAlign w:val="center"/>
          </w:tcPr>
          <w:p w14:paraId="3F6F9EC8" w14:textId="25EE5AAD" w:rsidR="007332C8" w:rsidRPr="005E1068" w:rsidRDefault="005B56E3" w:rsidP="0062090C">
            <w:pPr>
              <w:jc w:val="center"/>
              <w:rPr>
                <w:rFonts w:ascii="Times New Roman" w:hAnsi="Times New Roman"/>
                <w:sz w:val="20"/>
                <w:lang w:val="en-US"/>
              </w:rPr>
            </w:pPr>
            <w:proofErr w:type="spellStart"/>
            <w:r w:rsidRPr="005E1068">
              <w:rPr>
                <w:rFonts w:ascii="Times New Roman" w:hAnsi="Times New Roman"/>
                <w:sz w:val="20"/>
                <w:szCs w:val="20"/>
                <w:lang w:val="en-US"/>
              </w:rPr>
              <w:t>Exposición</w:t>
            </w:r>
            <w:proofErr w:type="spellEnd"/>
            <w:r w:rsidRPr="005E1068">
              <w:rPr>
                <w:rFonts w:ascii="Times New Roman" w:hAnsi="Times New Roman"/>
                <w:sz w:val="20"/>
                <w:szCs w:val="20"/>
                <w:lang w:val="en-US"/>
              </w:rPr>
              <w:t xml:space="preserve"> </w:t>
            </w:r>
            <w:proofErr w:type="spellStart"/>
            <w:r w:rsidRPr="005E1068">
              <w:rPr>
                <w:rFonts w:ascii="Times New Roman" w:hAnsi="Times New Roman"/>
                <w:sz w:val="20"/>
                <w:szCs w:val="20"/>
                <w:lang w:val="en-US"/>
              </w:rPr>
              <w:t>pasada</w:t>
            </w:r>
            <w:proofErr w:type="spellEnd"/>
            <w:r w:rsidRPr="005E1068">
              <w:rPr>
                <w:rFonts w:ascii="Times New Roman" w:hAnsi="Times New Roman"/>
                <w:sz w:val="20"/>
                <w:szCs w:val="20"/>
                <w:lang w:val="en-US"/>
              </w:rPr>
              <w:t xml:space="preserve"> a </w:t>
            </w:r>
            <w:proofErr w:type="spellStart"/>
            <w:r w:rsidRPr="005E1068">
              <w:rPr>
                <w:rFonts w:ascii="Times New Roman" w:hAnsi="Times New Roman"/>
                <w:sz w:val="20"/>
                <w:szCs w:val="20"/>
                <w:lang w:val="en-US"/>
              </w:rPr>
              <w:t>agroquímicos</w:t>
            </w:r>
            <w:proofErr w:type="spellEnd"/>
          </w:p>
        </w:tc>
      </w:tr>
      <w:tr w:rsidR="005B56E3" w:rsidRPr="005E1068" w14:paraId="744F7BDC" w14:textId="77777777" w:rsidTr="007332C8">
        <w:trPr>
          <w:jc w:val="center"/>
        </w:trPr>
        <w:tc>
          <w:tcPr>
            <w:tcW w:w="2208" w:type="dxa"/>
            <w:vAlign w:val="center"/>
          </w:tcPr>
          <w:p w14:paraId="6BE70008" w14:textId="6F7A66DD" w:rsidR="005B56E3" w:rsidRPr="005E1068" w:rsidRDefault="005B56E3" w:rsidP="000D1DCF">
            <w:pPr>
              <w:rPr>
                <w:rFonts w:ascii="Times New Roman" w:hAnsi="Times New Roman"/>
                <w:bCs/>
                <w:sz w:val="20"/>
              </w:rPr>
            </w:pPr>
            <w:r w:rsidRPr="005E1068">
              <w:rPr>
                <w:rFonts w:ascii="Times New Roman" w:hAnsi="Times New Roman"/>
                <w:bCs/>
                <w:sz w:val="20"/>
                <w:szCs w:val="20"/>
              </w:rPr>
              <w:t>Manipulación de algún tipo de agroquímicos</w:t>
            </w:r>
          </w:p>
        </w:tc>
        <w:tc>
          <w:tcPr>
            <w:tcW w:w="1477" w:type="dxa"/>
            <w:vAlign w:val="center"/>
          </w:tcPr>
          <w:p w14:paraId="3EE11ACD"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2.54 </w:t>
            </w:r>
          </w:p>
          <w:p w14:paraId="17F92B9E" w14:textId="2D876958"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(1.94-3.44)</w:t>
            </w:r>
          </w:p>
        </w:tc>
        <w:tc>
          <w:tcPr>
            <w:tcW w:w="1710" w:type="dxa"/>
            <w:vAlign w:val="center"/>
          </w:tcPr>
          <w:p w14:paraId="46B0F639"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3.46</w:t>
            </w:r>
          </w:p>
          <w:p w14:paraId="4D0B17DA" w14:textId="3DC19654"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 (2.57-4.66)</w:t>
            </w:r>
          </w:p>
        </w:tc>
        <w:tc>
          <w:tcPr>
            <w:tcW w:w="1620" w:type="dxa"/>
            <w:vAlign w:val="center"/>
          </w:tcPr>
          <w:p w14:paraId="3AB9073A"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2.49 </w:t>
            </w:r>
          </w:p>
          <w:p w14:paraId="3D9EDCAA" w14:textId="647D6C85"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(1.51-4.10)</w:t>
            </w:r>
          </w:p>
        </w:tc>
        <w:tc>
          <w:tcPr>
            <w:tcW w:w="1710" w:type="dxa"/>
            <w:vAlign w:val="center"/>
          </w:tcPr>
          <w:p w14:paraId="09E734DA"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3.21 </w:t>
            </w:r>
          </w:p>
          <w:p w14:paraId="128430C4" w14:textId="76C54B50"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(1.85-5.57)</w:t>
            </w:r>
          </w:p>
        </w:tc>
      </w:tr>
      <w:tr w:rsidR="005B56E3" w:rsidRPr="005E1068" w14:paraId="746D946B" w14:textId="77777777" w:rsidTr="007332C8">
        <w:trPr>
          <w:jc w:val="center"/>
        </w:trPr>
        <w:tc>
          <w:tcPr>
            <w:tcW w:w="2208" w:type="dxa"/>
            <w:vAlign w:val="center"/>
          </w:tcPr>
          <w:p w14:paraId="284F8AA7" w14:textId="51F60692" w:rsidR="005B56E3" w:rsidRPr="005E1068" w:rsidRDefault="005B56E3" w:rsidP="000D1DCF">
            <w:pPr>
              <w:rPr>
                <w:rFonts w:ascii="Times New Roman" w:hAnsi="Times New Roman"/>
                <w:bCs/>
                <w:sz w:val="20"/>
              </w:rPr>
            </w:pPr>
            <w:r w:rsidRPr="005E1068">
              <w:rPr>
                <w:rFonts w:ascii="Times New Roman" w:hAnsi="Times New Roman"/>
                <w:bCs/>
                <w:sz w:val="20"/>
              </w:rPr>
              <w:t>Manipulación de agroquímicos con código rojo</w:t>
            </w:r>
          </w:p>
        </w:tc>
        <w:tc>
          <w:tcPr>
            <w:tcW w:w="1477" w:type="dxa"/>
            <w:vAlign w:val="center"/>
          </w:tcPr>
          <w:p w14:paraId="0205E6ED"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1.84 </w:t>
            </w:r>
          </w:p>
          <w:p w14:paraId="0E86F985" w14:textId="4011B2D2"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(1.37-2.49)</w:t>
            </w:r>
          </w:p>
        </w:tc>
        <w:tc>
          <w:tcPr>
            <w:tcW w:w="1710" w:type="dxa"/>
            <w:vAlign w:val="center"/>
          </w:tcPr>
          <w:p w14:paraId="656EC9E3"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2.25</w:t>
            </w:r>
          </w:p>
          <w:p w14:paraId="6B1F166A" w14:textId="00D423D1"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 (1.63-3.10)</w:t>
            </w:r>
          </w:p>
        </w:tc>
        <w:tc>
          <w:tcPr>
            <w:tcW w:w="1620" w:type="dxa"/>
            <w:vAlign w:val="center"/>
          </w:tcPr>
          <w:p w14:paraId="730C3C8B"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1.57 </w:t>
            </w:r>
          </w:p>
          <w:p w14:paraId="22ABDC11" w14:textId="0397D67D"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(0.99-2.50)</w:t>
            </w:r>
          </w:p>
        </w:tc>
        <w:tc>
          <w:tcPr>
            <w:tcW w:w="1710" w:type="dxa"/>
            <w:vAlign w:val="center"/>
          </w:tcPr>
          <w:p w14:paraId="736836A7"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1.88 </w:t>
            </w:r>
          </w:p>
          <w:p w14:paraId="36263FE2" w14:textId="62B9225D"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(1.17-3.03)</w:t>
            </w:r>
          </w:p>
        </w:tc>
      </w:tr>
      <w:tr w:rsidR="005B56E3" w:rsidRPr="005E1068" w14:paraId="585B6AE1" w14:textId="77777777" w:rsidTr="007332C8">
        <w:trPr>
          <w:jc w:val="center"/>
        </w:trPr>
        <w:tc>
          <w:tcPr>
            <w:tcW w:w="2208" w:type="dxa"/>
            <w:vAlign w:val="center"/>
          </w:tcPr>
          <w:p w14:paraId="2AE3CC7A" w14:textId="15206FFE" w:rsidR="005B56E3" w:rsidRPr="005E1068" w:rsidRDefault="005B56E3" w:rsidP="000D1DCF">
            <w:pPr>
              <w:rPr>
                <w:rFonts w:ascii="Times New Roman" w:hAnsi="Times New Roman"/>
                <w:bCs/>
                <w:sz w:val="20"/>
              </w:rPr>
            </w:pPr>
            <w:r w:rsidRPr="005E1068">
              <w:rPr>
                <w:rFonts w:ascii="Times New Roman" w:hAnsi="Times New Roman"/>
                <w:bCs/>
                <w:sz w:val="20"/>
              </w:rPr>
              <w:t>Manipulación de agroquímicos con código amarillo</w:t>
            </w:r>
          </w:p>
        </w:tc>
        <w:tc>
          <w:tcPr>
            <w:tcW w:w="1477" w:type="dxa"/>
            <w:vAlign w:val="center"/>
          </w:tcPr>
          <w:p w14:paraId="767D26C5"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1.99 </w:t>
            </w:r>
          </w:p>
          <w:p w14:paraId="002824B0" w14:textId="39FB3DC3"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(1.53-2.59)</w:t>
            </w:r>
          </w:p>
        </w:tc>
        <w:tc>
          <w:tcPr>
            <w:tcW w:w="1710" w:type="dxa"/>
            <w:vAlign w:val="center"/>
          </w:tcPr>
          <w:p w14:paraId="2096F32B"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2.38 </w:t>
            </w:r>
          </w:p>
          <w:p w14:paraId="1F14288A" w14:textId="3DB695A0"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(1.80-3.13)</w:t>
            </w:r>
          </w:p>
        </w:tc>
        <w:tc>
          <w:tcPr>
            <w:tcW w:w="1620" w:type="dxa"/>
            <w:vAlign w:val="center"/>
          </w:tcPr>
          <w:p w14:paraId="7F75271D"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1.88 </w:t>
            </w:r>
          </w:p>
          <w:p w14:paraId="6363FD3D" w14:textId="6A2A9A7A"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(1.25-2.82)</w:t>
            </w:r>
          </w:p>
        </w:tc>
        <w:tc>
          <w:tcPr>
            <w:tcW w:w="1710" w:type="dxa"/>
            <w:vAlign w:val="center"/>
          </w:tcPr>
          <w:p w14:paraId="30006C28"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2.16</w:t>
            </w:r>
          </w:p>
          <w:p w14:paraId="0DF703DA" w14:textId="58EA4FB3"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 (1.40-3.32)</w:t>
            </w:r>
          </w:p>
        </w:tc>
      </w:tr>
      <w:tr w:rsidR="005B56E3" w:rsidRPr="005E1068" w14:paraId="130D2FCE" w14:textId="77777777" w:rsidTr="007603D4">
        <w:trPr>
          <w:jc w:val="center"/>
        </w:trPr>
        <w:tc>
          <w:tcPr>
            <w:tcW w:w="2208" w:type="dxa"/>
            <w:vAlign w:val="center"/>
          </w:tcPr>
          <w:p w14:paraId="46202BC7" w14:textId="5DDA0239" w:rsidR="005B56E3" w:rsidRPr="005E1068" w:rsidRDefault="005B56E3" w:rsidP="000D1DCF">
            <w:pPr>
              <w:rPr>
                <w:rFonts w:ascii="Times New Roman" w:hAnsi="Times New Roman"/>
                <w:bCs/>
                <w:sz w:val="20"/>
              </w:rPr>
            </w:pPr>
            <w:r w:rsidRPr="005E1068">
              <w:rPr>
                <w:rFonts w:ascii="Times New Roman" w:hAnsi="Times New Roman"/>
                <w:bCs/>
                <w:sz w:val="20"/>
              </w:rPr>
              <w:t>Manipulación de agroquímicos con código azul</w:t>
            </w:r>
          </w:p>
        </w:tc>
        <w:tc>
          <w:tcPr>
            <w:tcW w:w="1477" w:type="dxa"/>
            <w:vAlign w:val="center"/>
          </w:tcPr>
          <w:p w14:paraId="354BEB9C"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1.73 </w:t>
            </w:r>
          </w:p>
          <w:p w14:paraId="5B3C5CAA" w14:textId="666E6CAC"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(1.25-2.38)</w:t>
            </w:r>
          </w:p>
        </w:tc>
        <w:tc>
          <w:tcPr>
            <w:tcW w:w="1710" w:type="dxa"/>
            <w:vAlign w:val="center"/>
          </w:tcPr>
          <w:p w14:paraId="387360AF"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2.04 </w:t>
            </w:r>
          </w:p>
          <w:p w14:paraId="35BBCAC3" w14:textId="3DD8925A"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(1.45-2.87)</w:t>
            </w:r>
          </w:p>
        </w:tc>
        <w:tc>
          <w:tcPr>
            <w:tcW w:w="1620" w:type="dxa"/>
            <w:vAlign w:val="center"/>
          </w:tcPr>
          <w:p w14:paraId="62BDE2A3"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1.76 </w:t>
            </w:r>
          </w:p>
          <w:p w14:paraId="005E6EFD" w14:textId="4FDCBFFB"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(1.15-2.67)</w:t>
            </w:r>
          </w:p>
        </w:tc>
        <w:tc>
          <w:tcPr>
            <w:tcW w:w="1710" w:type="dxa"/>
            <w:vAlign w:val="center"/>
          </w:tcPr>
          <w:p w14:paraId="0736DEBC"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2.02 </w:t>
            </w:r>
          </w:p>
          <w:p w14:paraId="41D492B6" w14:textId="24A27388"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(1.28-3.19)</w:t>
            </w:r>
          </w:p>
        </w:tc>
      </w:tr>
      <w:tr w:rsidR="005B56E3" w:rsidRPr="005E1068" w14:paraId="12CD3B76" w14:textId="77777777" w:rsidTr="007603D4">
        <w:trPr>
          <w:jc w:val="center"/>
        </w:trPr>
        <w:tc>
          <w:tcPr>
            <w:tcW w:w="2208" w:type="dxa"/>
            <w:vAlign w:val="center"/>
          </w:tcPr>
          <w:p w14:paraId="7BEFB1F9" w14:textId="43F9A947" w:rsidR="005B56E3" w:rsidRPr="005E1068" w:rsidRDefault="005B56E3" w:rsidP="000D1DCF">
            <w:pPr>
              <w:rPr>
                <w:rFonts w:ascii="Times New Roman" w:hAnsi="Times New Roman"/>
                <w:bCs/>
                <w:sz w:val="20"/>
              </w:rPr>
            </w:pPr>
            <w:r w:rsidRPr="005E1068">
              <w:rPr>
                <w:rFonts w:ascii="Times New Roman" w:hAnsi="Times New Roman"/>
                <w:bCs/>
                <w:sz w:val="20"/>
              </w:rPr>
              <w:t>Manipulación de agroquímicos con código verde</w:t>
            </w:r>
          </w:p>
        </w:tc>
        <w:tc>
          <w:tcPr>
            <w:tcW w:w="1477" w:type="dxa"/>
            <w:vAlign w:val="center"/>
          </w:tcPr>
          <w:p w14:paraId="2A217250"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1.65 </w:t>
            </w:r>
          </w:p>
          <w:p w14:paraId="358B89E1" w14:textId="739805BF"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(1.19-2.30)</w:t>
            </w:r>
          </w:p>
        </w:tc>
        <w:tc>
          <w:tcPr>
            <w:tcW w:w="1710" w:type="dxa"/>
            <w:vAlign w:val="center"/>
          </w:tcPr>
          <w:p w14:paraId="57661065"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2.01 </w:t>
            </w:r>
          </w:p>
          <w:p w14:paraId="45355049" w14:textId="30EB8BFC"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(1.42-2.85)</w:t>
            </w:r>
          </w:p>
        </w:tc>
        <w:tc>
          <w:tcPr>
            <w:tcW w:w="1620" w:type="dxa"/>
            <w:vAlign w:val="center"/>
          </w:tcPr>
          <w:p w14:paraId="755F232A"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1.65 </w:t>
            </w:r>
          </w:p>
          <w:p w14:paraId="2955C84D" w14:textId="60ECBEC3"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(1.07-2.53)</w:t>
            </w:r>
          </w:p>
        </w:tc>
        <w:tc>
          <w:tcPr>
            <w:tcW w:w="1710" w:type="dxa"/>
            <w:vAlign w:val="center"/>
          </w:tcPr>
          <w:p w14:paraId="1A131E82"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2.09 </w:t>
            </w:r>
          </w:p>
          <w:p w14:paraId="5AF20C43" w14:textId="5C71F00E"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(1.33-3.28)</w:t>
            </w:r>
          </w:p>
        </w:tc>
      </w:tr>
      <w:tr w:rsidR="005B56E3" w:rsidRPr="005E1068" w14:paraId="7BCE6301" w14:textId="77777777" w:rsidTr="007332C8">
        <w:trPr>
          <w:jc w:val="center"/>
        </w:trPr>
        <w:tc>
          <w:tcPr>
            <w:tcW w:w="2208" w:type="dxa"/>
            <w:vAlign w:val="center"/>
          </w:tcPr>
          <w:p w14:paraId="666EDE87" w14:textId="356B2505" w:rsidR="005B56E3" w:rsidRPr="005E1068" w:rsidRDefault="005B56E3" w:rsidP="000D1DCF">
            <w:pPr>
              <w:rPr>
                <w:rFonts w:ascii="Times New Roman" w:hAnsi="Times New Roman"/>
                <w:bCs/>
                <w:sz w:val="20"/>
                <w:lang w:val="en-US"/>
              </w:rPr>
            </w:pPr>
            <w:r w:rsidRPr="005E1068">
              <w:rPr>
                <w:rFonts w:ascii="Times New Roman" w:hAnsi="Times New Roman"/>
                <w:bCs/>
                <w:sz w:val="20"/>
              </w:rPr>
              <w:lastRenderedPageBreak/>
              <w:t xml:space="preserve">Manipulación de agroquímicos </w:t>
            </w:r>
            <w:proofErr w:type="spellStart"/>
            <w:r w:rsidRPr="005E1068">
              <w:rPr>
                <w:rFonts w:ascii="Times New Roman" w:hAnsi="Times New Roman"/>
                <w:bCs/>
                <w:sz w:val="20"/>
              </w:rPr>
              <w:t>nefrotóxicos</w:t>
            </w:r>
            <w:proofErr w:type="spellEnd"/>
          </w:p>
        </w:tc>
        <w:tc>
          <w:tcPr>
            <w:tcW w:w="1477" w:type="dxa"/>
            <w:vAlign w:val="center"/>
          </w:tcPr>
          <w:p w14:paraId="2A2AF8AE"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1.35 </w:t>
            </w:r>
          </w:p>
          <w:p w14:paraId="465BD7E1" w14:textId="2DEE4DCA"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(0.84-2.15)</w:t>
            </w:r>
          </w:p>
        </w:tc>
        <w:tc>
          <w:tcPr>
            <w:tcW w:w="1710" w:type="dxa"/>
            <w:vAlign w:val="center"/>
          </w:tcPr>
          <w:p w14:paraId="7F7510A2"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1.55 </w:t>
            </w:r>
          </w:p>
          <w:p w14:paraId="4C75AFB9" w14:textId="59A08E04"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(0.93-2.57)</w:t>
            </w:r>
          </w:p>
        </w:tc>
        <w:tc>
          <w:tcPr>
            <w:tcW w:w="1620" w:type="dxa"/>
            <w:vAlign w:val="center"/>
          </w:tcPr>
          <w:p w14:paraId="59E33601"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1.68 (0.90-3.14)</w:t>
            </w:r>
          </w:p>
        </w:tc>
        <w:tc>
          <w:tcPr>
            <w:tcW w:w="1710" w:type="dxa"/>
            <w:vAlign w:val="center"/>
          </w:tcPr>
          <w:p w14:paraId="7C9BB07B"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1.70 (0.85-3.41)</w:t>
            </w:r>
          </w:p>
        </w:tc>
      </w:tr>
      <w:tr w:rsidR="005B56E3" w:rsidRPr="005E1068" w14:paraId="28E46218" w14:textId="77777777" w:rsidTr="007332C8">
        <w:trPr>
          <w:jc w:val="center"/>
        </w:trPr>
        <w:tc>
          <w:tcPr>
            <w:tcW w:w="2208" w:type="dxa"/>
            <w:vAlign w:val="center"/>
          </w:tcPr>
          <w:p w14:paraId="37B9152D" w14:textId="16806BC5" w:rsidR="005B56E3" w:rsidRPr="005E1068" w:rsidRDefault="005B56E3" w:rsidP="000D1DCF">
            <w:pPr>
              <w:rPr>
                <w:rFonts w:ascii="Times New Roman" w:hAnsi="Times New Roman"/>
                <w:bCs/>
                <w:sz w:val="20"/>
                <w:lang w:val="es-ES_tradnl"/>
              </w:rPr>
            </w:pPr>
            <w:r w:rsidRPr="005E1068">
              <w:rPr>
                <w:rFonts w:ascii="Times New Roman" w:hAnsi="Times New Roman"/>
                <w:bCs/>
                <w:sz w:val="20"/>
              </w:rPr>
              <w:t xml:space="preserve">Manipulación de </w:t>
            </w:r>
            <w:proofErr w:type="spellStart"/>
            <w:r w:rsidRPr="005E1068">
              <w:rPr>
                <w:rFonts w:ascii="Times New Roman" w:hAnsi="Times New Roman"/>
                <w:bCs/>
                <w:sz w:val="20"/>
              </w:rPr>
              <w:t>paraquat</w:t>
            </w:r>
            <w:proofErr w:type="spellEnd"/>
          </w:p>
        </w:tc>
        <w:tc>
          <w:tcPr>
            <w:tcW w:w="1477" w:type="dxa"/>
          </w:tcPr>
          <w:p w14:paraId="57961FB9"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1.19 </w:t>
            </w:r>
          </w:p>
          <w:p w14:paraId="526E23E8" w14:textId="7D8AF99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(0.92-1.54)</w:t>
            </w:r>
          </w:p>
        </w:tc>
        <w:tc>
          <w:tcPr>
            <w:tcW w:w="1710" w:type="dxa"/>
          </w:tcPr>
          <w:p w14:paraId="124C52E2"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2.27</w:t>
            </w:r>
          </w:p>
          <w:p w14:paraId="66645CD6" w14:textId="0DD3D2D8"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 (1.74-2.95)</w:t>
            </w:r>
          </w:p>
        </w:tc>
        <w:tc>
          <w:tcPr>
            <w:tcW w:w="1620" w:type="dxa"/>
          </w:tcPr>
          <w:p w14:paraId="7CBE372C"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1.37 </w:t>
            </w:r>
          </w:p>
          <w:p w14:paraId="334A6A9D" w14:textId="47896395"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(0.91-2.07)</w:t>
            </w:r>
          </w:p>
        </w:tc>
        <w:tc>
          <w:tcPr>
            <w:tcW w:w="1710" w:type="dxa"/>
          </w:tcPr>
          <w:p w14:paraId="01F06B6E"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2.19</w:t>
            </w:r>
          </w:p>
          <w:p w14:paraId="48E8DFF4" w14:textId="5776C1AA"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 (1.40-3.43)</w:t>
            </w:r>
          </w:p>
        </w:tc>
      </w:tr>
      <w:tr w:rsidR="005B56E3" w:rsidRPr="005E1068" w14:paraId="31F87212" w14:textId="77777777" w:rsidTr="007332C8">
        <w:trPr>
          <w:jc w:val="center"/>
        </w:trPr>
        <w:tc>
          <w:tcPr>
            <w:tcW w:w="8725" w:type="dxa"/>
            <w:gridSpan w:val="5"/>
            <w:shd w:val="clear" w:color="auto" w:fill="E5B8B7" w:themeFill="accent2" w:themeFillTint="66"/>
            <w:vAlign w:val="center"/>
          </w:tcPr>
          <w:p w14:paraId="5C93ED03" w14:textId="61CDDFA4" w:rsidR="005B56E3" w:rsidRPr="005E1068" w:rsidRDefault="005B56E3" w:rsidP="005B56E3">
            <w:pPr>
              <w:ind w:left="220"/>
              <w:jc w:val="center"/>
              <w:rPr>
                <w:rFonts w:ascii="Times New Roman" w:hAnsi="Times New Roman"/>
                <w:sz w:val="20"/>
                <w:szCs w:val="20"/>
              </w:rPr>
            </w:pPr>
            <w:r w:rsidRPr="005E1068">
              <w:rPr>
                <w:rFonts w:ascii="Times New Roman" w:hAnsi="Times New Roman"/>
                <w:sz w:val="20"/>
                <w:szCs w:val="20"/>
              </w:rPr>
              <w:t>Exposición pasada a condiciones asociadas con los agroquímicos</w:t>
            </w:r>
          </w:p>
        </w:tc>
      </w:tr>
      <w:tr w:rsidR="005B56E3" w:rsidRPr="005E1068" w14:paraId="3C3AC94B" w14:textId="77777777" w:rsidTr="007332C8">
        <w:trPr>
          <w:jc w:val="center"/>
        </w:trPr>
        <w:tc>
          <w:tcPr>
            <w:tcW w:w="2208" w:type="dxa"/>
            <w:vAlign w:val="center"/>
          </w:tcPr>
          <w:p w14:paraId="233CD82F" w14:textId="5EC50704" w:rsidR="005B56E3" w:rsidRPr="005E1068" w:rsidRDefault="005B56E3" w:rsidP="000D1DCF">
            <w:pPr>
              <w:rPr>
                <w:rFonts w:ascii="Times New Roman" w:hAnsi="Times New Roman"/>
                <w:bCs/>
                <w:sz w:val="20"/>
                <w:lang w:val="es-ES_tradnl"/>
              </w:rPr>
            </w:pPr>
            <w:r w:rsidRPr="005E1068">
              <w:rPr>
                <w:rFonts w:ascii="Times New Roman" w:hAnsi="Times New Roman"/>
                <w:bCs/>
                <w:sz w:val="20"/>
              </w:rPr>
              <w:t>Ocupación laboral agrícola pasada</w:t>
            </w:r>
          </w:p>
        </w:tc>
        <w:tc>
          <w:tcPr>
            <w:tcW w:w="1477" w:type="dxa"/>
            <w:vAlign w:val="center"/>
          </w:tcPr>
          <w:p w14:paraId="0570888E"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1.95</w:t>
            </w:r>
          </w:p>
          <w:p w14:paraId="703E4D07" w14:textId="69373170"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(1.47-2.45)</w:t>
            </w:r>
          </w:p>
        </w:tc>
        <w:tc>
          <w:tcPr>
            <w:tcW w:w="1710" w:type="dxa"/>
            <w:vAlign w:val="center"/>
          </w:tcPr>
          <w:p w14:paraId="5A293434"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2.73</w:t>
            </w:r>
          </w:p>
          <w:p w14:paraId="211DEA19" w14:textId="6BBD59C1"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(2.05-3.64)</w:t>
            </w:r>
          </w:p>
        </w:tc>
        <w:tc>
          <w:tcPr>
            <w:tcW w:w="1620" w:type="dxa"/>
            <w:vAlign w:val="center"/>
          </w:tcPr>
          <w:p w14:paraId="525862D6"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1.25 </w:t>
            </w:r>
          </w:p>
          <w:p w14:paraId="13AA91EF" w14:textId="02C81EF6"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(0.76-2.06)</w:t>
            </w:r>
          </w:p>
        </w:tc>
        <w:tc>
          <w:tcPr>
            <w:tcW w:w="1710" w:type="dxa"/>
            <w:vAlign w:val="center"/>
          </w:tcPr>
          <w:p w14:paraId="216029EC"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1.77</w:t>
            </w:r>
          </w:p>
          <w:p w14:paraId="11AD30EE" w14:textId="04007A4A"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(1.03-3.06)</w:t>
            </w:r>
          </w:p>
        </w:tc>
      </w:tr>
      <w:tr w:rsidR="005B56E3" w:rsidRPr="005E1068" w14:paraId="438D9B1B" w14:textId="77777777" w:rsidTr="007332C8">
        <w:trPr>
          <w:jc w:val="center"/>
        </w:trPr>
        <w:tc>
          <w:tcPr>
            <w:tcW w:w="2208" w:type="dxa"/>
            <w:vAlign w:val="center"/>
          </w:tcPr>
          <w:p w14:paraId="364909E1" w14:textId="09D867A8" w:rsidR="005B56E3" w:rsidRPr="005E1068" w:rsidRDefault="005B56E3" w:rsidP="000D1DCF">
            <w:pPr>
              <w:rPr>
                <w:rFonts w:ascii="Times New Roman" w:hAnsi="Times New Roman"/>
                <w:bCs/>
                <w:sz w:val="20"/>
              </w:rPr>
            </w:pPr>
            <w:r w:rsidRPr="005E1068">
              <w:rPr>
                <w:rFonts w:ascii="Times New Roman" w:hAnsi="Times New Roman"/>
                <w:bCs/>
                <w:sz w:val="20"/>
                <w:lang w:val="es-ES_tradnl"/>
              </w:rPr>
              <w:t>Exposición laboral específicamente relacionada con agroquímicos</w:t>
            </w:r>
          </w:p>
        </w:tc>
        <w:tc>
          <w:tcPr>
            <w:tcW w:w="1477" w:type="dxa"/>
            <w:vAlign w:val="center"/>
          </w:tcPr>
          <w:p w14:paraId="545207CC"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1.78 </w:t>
            </w:r>
          </w:p>
          <w:p w14:paraId="2B0CC918" w14:textId="59C421D0"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(1.35-2.35)</w:t>
            </w:r>
          </w:p>
        </w:tc>
        <w:tc>
          <w:tcPr>
            <w:tcW w:w="1710" w:type="dxa"/>
            <w:vAlign w:val="center"/>
          </w:tcPr>
          <w:p w14:paraId="15D1AD82"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2.05</w:t>
            </w:r>
          </w:p>
          <w:p w14:paraId="248B54B8" w14:textId="41C3F66E"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 (1.54-2.71)</w:t>
            </w:r>
          </w:p>
        </w:tc>
        <w:tc>
          <w:tcPr>
            <w:tcW w:w="1620" w:type="dxa"/>
            <w:vAlign w:val="center"/>
          </w:tcPr>
          <w:p w14:paraId="0CE7B4C5"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2.36</w:t>
            </w:r>
          </w:p>
          <w:p w14:paraId="103DD6C3" w14:textId="1DF9A2D0"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 (1.56-3.59)</w:t>
            </w:r>
          </w:p>
        </w:tc>
        <w:tc>
          <w:tcPr>
            <w:tcW w:w="1710" w:type="dxa"/>
            <w:vAlign w:val="center"/>
          </w:tcPr>
          <w:p w14:paraId="50299F80" w14:textId="77777777"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2.70</w:t>
            </w:r>
          </w:p>
          <w:p w14:paraId="2F64A7FF" w14:textId="2B2F49A9" w:rsidR="005B56E3" w:rsidRPr="005E1068" w:rsidRDefault="005B56E3" w:rsidP="005B56E3">
            <w:pPr>
              <w:ind w:left="220"/>
              <w:jc w:val="center"/>
              <w:rPr>
                <w:rFonts w:ascii="Times New Roman" w:hAnsi="Times New Roman"/>
                <w:sz w:val="20"/>
                <w:lang w:val="en-US"/>
              </w:rPr>
            </w:pPr>
            <w:r w:rsidRPr="005E1068">
              <w:rPr>
                <w:rFonts w:ascii="Times New Roman" w:hAnsi="Times New Roman"/>
                <w:sz w:val="20"/>
                <w:lang w:val="en-US"/>
              </w:rPr>
              <w:t xml:space="preserve"> (1.73-4.20)</w:t>
            </w:r>
          </w:p>
        </w:tc>
      </w:tr>
      <w:tr w:rsidR="005B56E3" w:rsidRPr="005E1068" w14:paraId="585B346F" w14:textId="77777777" w:rsidTr="007332C8">
        <w:trPr>
          <w:jc w:val="center"/>
        </w:trPr>
        <w:tc>
          <w:tcPr>
            <w:tcW w:w="2208" w:type="dxa"/>
            <w:vAlign w:val="center"/>
          </w:tcPr>
          <w:p w14:paraId="2A8440DD" w14:textId="71557208" w:rsidR="005B56E3" w:rsidRPr="005E1068" w:rsidRDefault="005B56E3" w:rsidP="000D1DCF">
            <w:pPr>
              <w:rPr>
                <w:rFonts w:ascii="Times New Roman" w:hAnsi="Times New Roman"/>
                <w:bCs/>
                <w:sz w:val="20"/>
              </w:rPr>
            </w:pPr>
            <w:r w:rsidRPr="005E1068">
              <w:rPr>
                <w:rFonts w:ascii="Times New Roman" w:hAnsi="Times New Roman"/>
                <w:bCs/>
                <w:sz w:val="20"/>
              </w:rPr>
              <w:t>Consumo de agua de pozo, manantial o río</w:t>
            </w:r>
          </w:p>
        </w:tc>
        <w:tc>
          <w:tcPr>
            <w:tcW w:w="1477" w:type="dxa"/>
            <w:vAlign w:val="center"/>
          </w:tcPr>
          <w:p w14:paraId="0934E9BB"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1.75</w:t>
            </w:r>
          </w:p>
          <w:p w14:paraId="2EB920E6" w14:textId="5787A0E9"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(1.36-2.25)</w:t>
            </w:r>
          </w:p>
        </w:tc>
        <w:tc>
          <w:tcPr>
            <w:tcW w:w="1710" w:type="dxa"/>
            <w:vAlign w:val="center"/>
          </w:tcPr>
          <w:p w14:paraId="240DD221"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1.78</w:t>
            </w:r>
          </w:p>
          <w:p w14:paraId="0F2FDD64" w14:textId="5E4BFBF5"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(1.39-2.28)</w:t>
            </w:r>
          </w:p>
        </w:tc>
        <w:tc>
          <w:tcPr>
            <w:tcW w:w="1620" w:type="dxa"/>
            <w:vAlign w:val="center"/>
          </w:tcPr>
          <w:p w14:paraId="5BCFC1C8"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2.19</w:t>
            </w:r>
          </w:p>
          <w:p w14:paraId="3A4D03E5" w14:textId="35DF8A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(1.51-3.19)</w:t>
            </w:r>
          </w:p>
        </w:tc>
        <w:tc>
          <w:tcPr>
            <w:tcW w:w="1710" w:type="dxa"/>
            <w:vAlign w:val="center"/>
          </w:tcPr>
          <w:p w14:paraId="4FE35682"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2.01</w:t>
            </w:r>
          </w:p>
          <w:p w14:paraId="379B355E" w14:textId="58F1D0C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(1.36-2.98)</w:t>
            </w:r>
          </w:p>
        </w:tc>
      </w:tr>
      <w:tr w:rsidR="005B56E3" w:rsidRPr="005E1068" w14:paraId="11B3E810" w14:textId="77777777" w:rsidTr="007332C8">
        <w:trPr>
          <w:jc w:val="center"/>
        </w:trPr>
        <w:tc>
          <w:tcPr>
            <w:tcW w:w="2208" w:type="dxa"/>
            <w:vAlign w:val="center"/>
          </w:tcPr>
          <w:p w14:paraId="3DF765A2" w14:textId="2731EDC5" w:rsidR="005B56E3" w:rsidRPr="005E1068" w:rsidRDefault="005B56E3" w:rsidP="000D1DCF">
            <w:pPr>
              <w:rPr>
                <w:rFonts w:ascii="Times New Roman" w:hAnsi="Times New Roman"/>
                <w:sz w:val="20"/>
                <w:szCs w:val="24"/>
              </w:rPr>
            </w:pPr>
            <w:r w:rsidRPr="005E1068">
              <w:rPr>
                <w:rFonts w:ascii="Times New Roman" w:hAnsi="Times New Roman"/>
                <w:bCs/>
                <w:sz w:val="20"/>
              </w:rPr>
              <w:t>Almacenamiento de productos y equipos de fumigación en la vivienda</w:t>
            </w:r>
          </w:p>
        </w:tc>
        <w:tc>
          <w:tcPr>
            <w:tcW w:w="1477" w:type="dxa"/>
            <w:vAlign w:val="center"/>
          </w:tcPr>
          <w:p w14:paraId="72876D0A"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1.54 </w:t>
            </w:r>
          </w:p>
          <w:p w14:paraId="5702D37D" w14:textId="52ED3E9A"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(1.20-1.98)</w:t>
            </w:r>
          </w:p>
        </w:tc>
        <w:tc>
          <w:tcPr>
            <w:tcW w:w="1710" w:type="dxa"/>
            <w:vAlign w:val="center"/>
          </w:tcPr>
          <w:p w14:paraId="37C803BA"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1.68 </w:t>
            </w:r>
          </w:p>
          <w:p w14:paraId="227841DF" w14:textId="085B75EF"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(1.31-2.15)</w:t>
            </w:r>
          </w:p>
        </w:tc>
        <w:tc>
          <w:tcPr>
            <w:tcW w:w="1620" w:type="dxa"/>
            <w:vAlign w:val="center"/>
          </w:tcPr>
          <w:p w14:paraId="73B5746A"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1.71</w:t>
            </w:r>
          </w:p>
          <w:p w14:paraId="7A83CB38" w14:textId="50F575CF"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(1.17-2.49)</w:t>
            </w:r>
          </w:p>
        </w:tc>
        <w:tc>
          <w:tcPr>
            <w:tcW w:w="1710" w:type="dxa"/>
            <w:vAlign w:val="center"/>
          </w:tcPr>
          <w:p w14:paraId="3D014E2D"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1.76</w:t>
            </w:r>
          </w:p>
          <w:p w14:paraId="2D1820ED" w14:textId="59F5927B"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(1.15-2.69)</w:t>
            </w:r>
          </w:p>
        </w:tc>
      </w:tr>
      <w:tr w:rsidR="005B56E3" w:rsidRPr="005E1068" w14:paraId="6EBEA794" w14:textId="77777777" w:rsidTr="007332C8">
        <w:trPr>
          <w:jc w:val="center"/>
        </w:trPr>
        <w:tc>
          <w:tcPr>
            <w:tcW w:w="2208" w:type="dxa"/>
            <w:vAlign w:val="center"/>
          </w:tcPr>
          <w:p w14:paraId="3DDA579F" w14:textId="35A7E368" w:rsidR="005B56E3" w:rsidRPr="005E1068" w:rsidRDefault="005B56E3" w:rsidP="000D1DCF">
            <w:pPr>
              <w:rPr>
                <w:rFonts w:ascii="Times New Roman" w:hAnsi="Times New Roman"/>
                <w:sz w:val="20"/>
                <w:szCs w:val="24"/>
              </w:rPr>
            </w:pPr>
            <w:r w:rsidRPr="005E1068">
              <w:rPr>
                <w:rFonts w:ascii="Times New Roman" w:hAnsi="Times New Roman"/>
                <w:bCs/>
                <w:sz w:val="20"/>
              </w:rPr>
              <w:t>Exposición a fumigación aérea agroquímica en su área de trabajo o residencia</w:t>
            </w:r>
          </w:p>
        </w:tc>
        <w:tc>
          <w:tcPr>
            <w:tcW w:w="1477" w:type="dxa"/>
            <w:vAlign w:val="center"/>
          </w:tcPr>
          <w:p w14:paraId="038872A1"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2.43</w:t>
            </w:r>
          </w:p>
          <w:p w14:paraId="7C60563C" w14:textId="264A1806"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(1.72-3.44)</w:t>
            </w:r>
          </w:p>
        </w:tc>
        <w:tc>
          <w:tcPr>
            <w:tcW w:w="1710" w:type="dxa"/>
            <w:vAlign w:val="center"/>
          </w:tcPr>
          <w:p w14:paraId="2B3D5CF4"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2.06 </w:t>
            </w:r>
          </w:p>
          <w:p w14:paraId="16D93615" w14:textId="7D68742A"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(1.39-3.05)</w:t>
            </w:r>
          </w:p>
        </w:tc>
        <w:tc>
          <w:tcPr>
            <w:tcW w:w="1620" w:type="dxa"/>
            <w:vAlign w:val="center"/>
          </w:tcPr>
          <w:p w14:paraId="2537FF08"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3.07</w:t>
            </w:r>
          </w:p>
          <w:p w14:paraId="25FC87E4" w14:textId="52B5D84E"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 (1.55-6.10)</w:t>
            </w:r>
          </w:p>
        </w:tc>
        <w:tc>
          <w:tcPr>
            <w:tcW w:w="1710" w:type="dxa"/>
            <w:vAlign w:val="center"/>
          </w:tcPr>
          <w:p w14:paraId="4BB233B3" w14:textId="77777777"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 xml:space="preserve">2.83 </w:t>
            </w:r>
          </w:p>
          <w:p w14:paraId="63F5FB82" w14:textId="4268DB4F" w:rsidR="005B56E3" w:rsidRPr="005E1068" w:rsidRDefault="005B56E3" w:rsidP="005B56E3">
            <w:pPr>
              <w:ind w:left="220"/>
              <w:jc w:val="center"/>
              <w:rPr>
                <w:rFonts w:ascii="Times New Roman" w:hAnsi="Times New Roman"/>
                <w:sz w:val="20"/>
                <w:szCs w:val="24"/>
                <w:lang w:val="en-US"/>
              </w:rPr>
            </w:pPr>
            <w:r w:rsidRPr="005E1068">
              <w:rPr>
                <w:rFonts w:ascii="Times New Roman" w:hAnsi="Times New Roman"/>
                <w:sz w:val="20"/>
                <w:szCs w:val="24"/>
                <w:lang w:val="en-US"/>
              </w:rPr>
              <w:t>(0.92-8.67)</w:t>
            </w:r>
          </w:p>
        </w:tc>
      </w:tr>
    </w:tbl>
    <w:p w14:paraId="13053A61" w14:textId="77777777" w:rsidR="000D1DCF" w:rsidRPr="005E1068" w:rsidRDefault="000D1DCF" w:rsidP="00772B81">
      <w:pPr>
        <w:pStyle w:val="Ttulo1"/>
        <w:spacing w:line="360" w:lineRule="auto"/>
        <w:jc w:val="both"/>
        <w:rPr>
          <w:rFonts w:ascii="Times New Roman" w:hAnsi="Times New Roman"/>
          <w:b/>
          <w:color w:val="auto"/>
          <w:sz w:val="24"/>
          <w:szCs w:val="24"/>
          <w:lang w:val="en-US"/>
        </w:rPr>
        <w:sectPr w:rsidR="000D1DCF" w:rsidRPr="005E1068" w:rsidSect="007332C8">
          <w:footnotePr>
            <w:numFmt w:val="lowerRoman"/>
          </w:footnotePr>
          <w:endnotePr>
            <w:numFmt w:val="decimal"/>
          </w:endnotePr>
          <w:pgSz w:w="16838" w:h="11906" w:orient="landscape"/>
          <w:pgMar w:top="1701" w:right="1417" w:bottom="1701" w:left="1417" w:header="708" w:footer="708" w:gutter="0"/>
          <w:cols w:space="708"/>
          <w:docGrid w:linePitch="360"/>
        </w:sectPr>
      </w:pPr>
    </w:p>
    <w:p w14:paraId="34A1C4E9" w14:textId="2E9B6538" w:rsidR="009E254D" w:rsidRPr="005E1068" w:rsidRDefault="009E254D" w:rsidP="009E254D">
      <w:pPr>
        <w:pStyle w:val="Ttulo1"/>
        <w:spacing w:line="360" w:lineRule="auto"/>
        <w:jc w:val="both"/>
        <w:rPr>
          <w:rFonts w:ascii="Times New Roman" w:hAnsi="Times New Roman"/>
          <w:color w:val="auto"/>
          <w:sz w:val="24"/>
          <w:szCs w:val="24"/>
          <w:lang w:val="es-US"/>
        </w:rPr>
      </w:pPr>
      <w:r w:rsidRPr="005E1068">
        <w:rPr>
          <w:rFonts w:ascii="Times New Roman" w:hAnsi="Times New Roman"/>
          <w:b/>
          <w:color w:val="auto"/>
          <w:sz w:val="24"/>
          <w:szCs w:val="24"/>
          <w:lang w:val="es-US"/>
        </w:rPr>
        <w:lastRenderedPageBreak/>
        <w:t>Discusión</w:t>
      </w:r>
    </w:p>
    <w:p w14:paraId="24551A9A" w14:textId="0C3B8D73" w:rsidR="003A7CD4" w:rsidRPr="005E1068" w:rsidRDefault="003A7CD4" w:rsidP="00772B81">
      <w:pPr>
        <w:spacing w:after="0" w:line="360" w:lineRule="auto"/>
        <w:jc w:val="both"/>
        <w:rPr>
          <w:rFonts w:ascii="Times New Roman" w:hAnsi="Times New Roman"/>
          <w:color w:val="000000"/>
          <w:sz w:val="24"/>
          <w:szCs w:val="24"/>
          <w:lang w:val="es-US" w:eastAsia="es-ES_tradnl"/>
        </w:rPr>
      </w:pPr>
    </w:p>
    <w:p w14:paraId="4D4EF889" w14:textId="1C37CD66" w:rsidR="003A7CD4" w:rsidRPr="005E1068" w:rsidRDefault="003A7CD4" w:rsidP="00B94762">
      <w:pPr>
        <w:spacing w:after="0" w:line="276" w:lineRule="auto"/>
        <w:jc w:val="both"/>
        <w:rPr>
          <w:rFonts w:ascii="Times New Roman" w:hAnsi="Times New Roman"/>
          <w:sz w:val="24"/>
          <w:szCs w:val="24"/>
        </w:rPr>
      </w:pPr>
      <w:r w:rsidRPr="005E1068">
        <w:rPr>
          <w:rFonts w:ascii="Times New Roman" w:hAnsi="Times New Roman"/>
          <w:sz w:val="24"/>
          <w:szCs w:val="24"/>
        </w:rPr>
        <w:t>Numerosos resultados publicados hasta la fecha sugieren que la población que trabaja en las comunidades agrícolas más af</w:t>
      </w:r>
      <w:r w:rsidR="009E254D" w:rsidRPr="005E1068">
        <w:rPr>
          <w:rFonts w:ascii="Times New Roman" w:hAnsi="Times New Roman"/>
          <w:sz w:val="24"/>
          <w:szCs w:val="24"/>
        </w:rPr>
        <w:t xml:space="preserve">ectadas por la epidemia de ERC </w:t>
      </w:r>
      <w:r w:rsidRPr="005E1068">
        <w:rPr>
          <w:rFonts w:ascii="Times New Roman" w:hAnsi="Times New Roman"/>
          <w:sz w:val="24"/>
          <w:szCs w:val="24"/>
        </w:rPr>
        <w:t>ha estado expuesta directa o indirectamente a pesticidas, herbicidas y no pocas sustancias tóxicas (metales pesados y metaloides), contenidas en algunos agroquímic</w:t>
      </w:r>
      <w:r w:rsidR="009E254D" w:rsidRPr="005E1068">
        <w:rPr>
          <w:rFonts w:ascii="Times New Roman" w:hAnsi="Times New Roman"/>
          <w:sz w:val="24"/>
          <w:szCs w:val="24"/>
        </w:rPr>
        <w:t>os y fertilizantes.</w:t>
      </w:r>
      <w:r w:rsidRPr="005E1068">
        <w:rPr>
          <w:rStyle w:val="Refdenotaalfinal"/>
          <w:rFonts w:ascii="Times New Roman" w:hAnsi="Times New Roman"/>
          <w:sz w:val="24"/>
          <w:szCs w:val="24"/>
          <w:lang w:val="en-US"/>
        </w:rPr>
        <w:endnoteReference w:id="39"/>
      </w:r>
      <w:r w:rsidRPr="005E1068">
        <w:rPr>
          <w:rFonts w:ascii="Times New Roman" w:hAnsi="Times New Roman"/>
          <w:sz w:val="24"/>
          <w:szCs w:val="24"/>
          <w:lang w:eastAsia="es-ES"/>
        </w:rPr>
        <w:t xml:space="preserve"> </w:t>
      </w:r>
      <w:r w:rsidRPr="005E1068">
        <w:rPr>
          <w:rStyle w:val="Refdenotaalfinal"/>
          <w:rFonts w:ascii="Times New Roman" w:hAnsi="Times New Roman"/>
          <w:sz w:val="24"/>
          <w:szCs w:val="24"/>
          <w:lang w:eastAsia="es-ES"/>
        </w:rPr>
        <w:t>2</w:t>
      </w:r>
      <w:r w:rsidRPr="005E1068">
        <w:rPr>
          <w:rFonts w:ascii="Times New Roman" w:hAnsi="Times New Roman"/>
          <w:sz w:val="24"/>
          <w:szCs w:val="24"/>
          <w:vertAlign w:val="superscript"/>
          <w:lang w:eastAsia="es-ES"/>
        </w:rPr>
        <w:t xml:space="preserve">3 </w:t>
      </w:r>
      <w:r w:rsidRPr="005E1068">
        <w:rPr>
          <w:rStyle w:val="Refdenotaalfinal"/>
          <w:rFonts w:ascii="Times New Roman" w:hAnsi="Times New Roman"/>
          <w:sz w:val="24"/>
          <w:szCs w:val="24"/>
        </w:rPr>
        <w:t>3</w:t>
      </w:r>
      <w:r w:rsidRPr="005E1068">
        <w:rPr>
          <w:rFonts w:ascii="Times New Roman" w:hAnsi="Times New Roman"/>
          <w:sz w:val="24"/>
          <w:szCs w:val="24"/>
          <w:vertAlign w:val="superscript"/>
        </w:rPr>
        <w:t>7</w:t>
      </w:r>
      <w:r w:rsidRPr="005E1068">
        <w:rPr>
          <w:rFonts w:ascii="Times New Roman" w:hAnsi="Times New Roman"/>
          <w:sz w:val="24"/>
          <w:szCs w:val="24"/>
        </w:rPr>
        <w:t xml:space="preserve"> Muchos de ellos están prohibidos en los países donde se producen;</w:t>
      </w:r>
      <w:r w:rsidR="00B94762" w:rsidRPr="005E1068">
        <w:rPr>
          <w:rStyle w:val="Refdenotaalfinal"/>
          <w:rFonts w:ascii="Times New Roman" w:hAnsi="Times New Roman"/>
          <w:sz w:val="24"/>
          <w:szCs w:val="24"/>
        </w:rPr>
        <w:endnoteReference w:id="40"/>
      </w:r>
      <w:r w:rsidR="00B94762" w:rsidRPr="005E1068">
        <w:rPr>
          <w:rFonts w:ascii="Times New Roman" w:hAnsi="Times New Roman"/>
          <w:sz w:val="24"/>
          <w:szCs w:val="24"/>
        </w:rPr>
        <w:t xml:space="preserve"> </w:t>
      </w:r>
      <w:r w:rsidR="00B94762" w:rsidRPr="005E1068">
        <w:rPr>
          <w:rStyle w:val="Refdenotaalfinal"/>
          <w:rFonts w:ascii="Times New Roman" w:hAnsi="Times New Roman"/>
          <w:sz w:val="24"/>
          <w:szCs w:val="24"/>
        </w:rPr>
        <w:endnoteReference w:id="41"/>
      </w:r>
      <w:r w:rsidR="00B94762" w:rsidRPr="005E1068">
        <w:rPr>
          <w:rFonts w:ascii="Times New Roman" w:hAnsi="Times New Roman"/>
          <w:spacing w:val="-1"/>
          <w:sz w:val="24"/>
          <w:szCs w:val="24"/>
        </w:rPr>
        <w:t xml:space="preserve"> </w:t>
      </w:r>
      <w:r w:rsidRPr="005E1068">
        <w:rPr>
          <w:rFonts w:ascii="Times New Roman" w:hAnsi="Times New Roman"/>
          <w:sz w:val="24"/>
          <w:szCs w:val="24"/>
        </w:rPr>
        <w:t xml:space="preserve"> sin embargo, se usan en grandes cantidades y, a menudo, sin</w:t>
      </w:r>
      <w:r w:rsidR="009E254D" w:rsidRPr="005E1068">
        <w:rPr>
          <w:rFonts w:ascii="Times New Roman" w:hAnsi="Times New Roman"/>
          <w:sz w:val="24"/>
          <w:szCs w:val="24"/>
        </w:rPr>
        <w:t xml:space="preserve"> ninguna o muy poca protección.</w:t>
      </w:r>
      <w:r w:rsidRPr="005E1068">
        <w:rPr>
          <w:rStyle w:val="Refdenotaalfinal"/>
          <w:rFonts w:ascii="Times New Roman" w:hAnsi="Times New Roman"/>
          <w:sz w:val="24"/>
          <w:szCs w:val="24"/>
          <w:lang w:val="en-US"/>
        </w:rPr>
        <w:endnoteReference w:id="42"/>
      </w:r>
      <w:r w:rsidRPr="005E1068">
        <w:rPr>
          <w:rFonts w:ascii="Times New Roman" w:hAnsi="Times New Roman"/>
          <w:sz w:val="24"/>
          <w:szCs w:val="24"/>
        </w:rPr>
        <w:t xml:space="preserve"> Tal es el caso de Centroamérica, la región del mundo donde se </w:t>
      </w:r>
      <w:r w:rsidR="009E254D" w:rsidRPr="005E1068">
        <w:rPr>
          <w:rFonts w:ascii="Times New Roman" w:hAnsi="Times New Roman"/>
          <w:sz w:val="24"/>
          <w:szCs w:val="24"/>
        </w:rPr>
        <w:t>emplean agroquímicos a gran escala</w:t>
      </w:r>
      <w:r w:rsidRPr="005E1068">
        <w:rPr>
          <w:rStyle w:val="Refdenotaalfinal"/>
          <w:rFonts w:ascii="Times New Roman" w:hAnsi="Times New Roman"/>
          <w:sz w:val="24"/>
          <w:szCs w:val="24"/>
          <w:lang w:val="en-US"/>
        </w:rPr>
        <w:endnoteReference w:id="43"/>
      </w:r>
      <w:r w:rsidRPr="005E1068">
        <w:rPr>
          <w:rFonts w:ascii="Times New Roman" w:hAnsi="Times New Roman"/>
          <w:sz w:val="24"/>
          <w:szCs w:val="24"/>
        </w:rPr>
        <w:t xml:space="preserve"> </w:t>
      </w:r>
      <w:r w:rsidR="009E254D" w:rsidRPr="005E1068">
        <w:rPr>
          <w:rFonts w:ascii="Times New Roman" w:hAnsi="Times New Roman"/>
          <w:sz w:val="24"/>
          <w:szCs w:val="24"/>
        </w:rPr>
        <w:t xml:space="preserve">. El Salvador </w:t>
      </w:r>
      <w:r w:rsidRPr="005E1068">
        <w:rPr>
          <w:rFonts w:ascii="Times New Roman" w:hAnsi="Times New Roman"/>
          <w:sz w:val="24"/>
          <w:szCs w:val="24"/>
        </w:rPr>
        <w:t>en particular, en</w:t>
      </w:r>
      <w:r w:rsidR="009E254D" w:rsidRPr="005E1068">
        <w:rPr>
          <w:rFonts w:ascii="Times New Roman" w:hAnsi="Times New Roman"/>
          <w:sz w:val="24"/>
          <w:szCs w:val="24"/>
        </w:rPr>
        <w:t>tre</w:t>
      </w:r>
      <w:r w:rsidRPr="005E1068">
        <w:rPr>
          <w:rFonts w:ascii="Times New Roman" w:hAnsi="Times New Roman"/>
          <w:sz w:val="24"/>
          <w:szCs w:val="24"/>
        </w:rPr>
        <w:t xml:space="preserve"> 2005</w:t>
      </w:r>
      <w:r w:rsidR="009E254D" w:rsidRPr="005E1068">
        <w:rPr>
          <w:rFonts w:ascii="Times New Roman" w:hAnsi="Times New Roman"/>
          <w:sz w:val="24"/>
          <w:szCs w:val="24"/>
        </w:rPr>
        <w:t xml:space="preserve"> y </w:t>
      </w:r>
      <w:r w:rsidRPr="005E1068">
        <w:rPr>
          <w:rFonts w:ascii="Times New Roman" w:hAnsi="Times New Roman"/>
          <w:sz w:val="24"/>
          <w:szCs w:val="24"/>
        </w:rPr>
        <w:t>2010 importó casi 16 millones de kg de pesticidas, con un aumento del 171% durante el período. Eso significa una relación muy alta: 2.5 kg por persona durante este tiempo.</w:t>
      </w:r>
      <w:r w:rsidR="00B94762" w:rsidRPr="005E1068">
        <w:rPr>
          <w:rStyle w:val="Refdenotaalfinal"/>
          <w:rFonts w:ascii="Times New Roman" w:hAnsi="Times New Roman"/>
          <w:color w:val="000000"/>
          <w:sz w:val="24"/>
          <w:szCs w:val="24"/>
          <w:lang w:val="en-US"/>
        </w:rPr>
        <w:endnoteReference w:id="44"/>
      </w:r>
    </w:p>
    <w:p w14:paraId="6796C1AE" w14:textId="2E5E9999" w:rsidR="00AE3FC9" w:rsidRPr="005E1068" w:rsidRDefault="00AE3FC9" w:rsidP="00AE3FC9">
      <w:pPr>
        <w:spacing w:after="0" w:line="276" w:lineRule="auto"/>
        <w:jc w:val="both"/>
        <w:rPr>
          <w:rFonts w:ascii="Times New Roman" w:hAnsi="Times New Roman"/>
          <w:spacing w:val="-1"/>
          <w:sz w:val="24"/>
          <w:szCs w:val="24"/>
          <w:lang w:val="es-US"/>
        </w:rPr>
      </w:pPr>
    </w:p>
    <w:p w14:paraId="49429B4E" w14:textId="27864F3E" w:rsidR="00AE3FC9" w:rsidRPr="005E1068" w:rsidRDefault="00AE3FC9" w:rsidP="00AE3FC9">
      <w:pPr>
        <w:spacing w:after="0" w:line="276" w:lineRule="auto"/>
        <w:jc w:val="both"/>
        <w:rPr>
          <w:rFonts w:ascii="Times New Roman" w:hAnsi="Times New Roman"/>
          <w:sz w:val="24"/>
          <w:szCs w:val="24"/>
        </w:rPr>
      </w:pPr>
      <w:r w:rsidRPr="005E1068">
        <w:rPr>
          <w:rFonts w:ascii="Times New Roman" w:hAnsi="Times New Roman"/>
          <w:sz w:val="24"/>
          <w:szCs w:val="24"/>
        </w:rPr>
        <w:t xml:space="preserve">Este informe presenta los resultados de la primera investigación epidemiológica realizada </w:t>
      </w:r>
      <w:r w:rsidRPr="005E1068">
        <w:rPr>
          <w:rFonts w:ascii="Times New Roman" w:hAnsi="Times New Roman"/>
          <w:spacing w:val="-1"/>
          <w:sz w:val="24"/>
          <w:szCs w:val="24"/>
        </w:rPr>
        <w:t xml:space="preserve">a nivel mundial </w:t>
      </w:r>
      <w:r w:rsidRPr="005E1068">
        <w:rPr>
          <w:rFonts w:ascii="Times New Roman" w:hAnsi="Times New Roman"/>
          <w:sz w:val="24"/>
          <w:szCs w:val="24"/>
        </w:rPr>
        <w:t>sobre ERC y ERCN, basada en una muestra probabilística de una nación entera. El gran tamaño de la muestra en un país envuelto en un</w:t>
      </w:r>
      <w:r w:rsidR="004A1737" w:rsidRPr="005E1068">
        <w:rPr>
          <w:rFonts w:ascii="Times New Roman" w:hAnsi="Times New Roman"/>
          <w:sz w:val="24"/>
          <w:szCs w:val="24"/>
        </w:rPr>
        <w:t>a</w:t>
      </w:r>
      <w:r w:rsidRPr="005E1068">
        <w:rPr>
          <w:rFonts w:ascii="Times New Roman" w:hAnsi="Times New Roman"/>
          <w:sz w:val="24"/>
          <w:szCs w:val="24"/>
        </w:rPr>
        <w:t xml:space="preserve"> </w:t>
      </w:r>
      <w:r w:rsidR="009E254D" w:rsidRPr="005E1068">
        <w:rPr>
          <w:rFonts w:ascii="Times New Roman" w:hAnsi="Times New Roman"/>
          <w:sz w:val="24"/>
          <w:szCs w:val="24"/>
        </w:rPr>
        <w:t xml:space="preserve">situación social altamente </w:t>
      </w:r>
      <w:r w:rsidRPr="005E1068">
        <w:rPr>
          <w:rFonts w:ascii="Times New Roman" w:hAnsi="Times New Roman"/>
          <w:sz w:val="24"/>
          <w:szCs w:val="24"/>
        </w:rPr>
        <w:t>conflict</w:t>
      </w:r>
      <w:r w:rsidR="009E254D" w:rsidRPr="005E1068">
        <w:rPr>
          <w:rFonts w:ascii="Times New Roman" w:hAnsi="Times New Roman"/>
          <w:sz w:val="24"/>
          <w:szCs w:val="24"/>
        </w:rPr>
        <w:t>iva</w:t>
      </w:r>
      <w:r w:rsidRPr="005E1068">
        <w:rPr>
          <w:rFonts w:ascii="Times New Roman" w:hAnsi="Times New Roman"/>
          <w:sz w:val="24"/>
          <w:szCs w:val="24"/>
        </w:rPr>
        <w:t>, y el hecho de que se confirmó la naturaleza crónica de la enfermedad renal inicialmente detectada, constituyen sus dos puntos fuertes más importantes.</w:t>
      </w:r>
    </w:p>
    <w:p w14:paraId="5E8718D4" w14:textId="6FEC4503" w:rsidR="00B94762" w:rsidRPr="005E1068" w:rsidRDefault="00B94762" w:rsidP="009E254D">
      <w:pPr>
        <w:shd w:val="clear" w:color="auto" w:fill="FFFFFF"/>
        <w:spacing w:after="0" w:line="360" w:lineRule="auto"/>
        <w:ind w:right="11"/>
        <w:jc w:val="both"/>
        <w:rPr>
          <w:rFonts w:ascii="Times New Roman" w:hAnsi="Times New Roman"/>
          <w:spacing w:val="-1"/>
          <w:sz w:val="24"/>
          <w:szCs w:val="24"/>
          <w:lang w:val="es-US"/>
        </w:rPr>
      </w:pPr>
    </w:p>
    <w:p w14:paraId="5FF951FB" w14:textId="5079DEEF" w:rsidR="00B94762" w:rsidRPr="005E1068" w:rsidRDefault="00B94762" w:rsidP="009E254D">
      <w:pPr>
        <w:shd w:val="clear" w:color="auto" w:fill="FFFFFF"/>
        <w:spacing w:after="0" w:line="276" w:lineRule="auto"/>
        <w:ind w:left="6" w:right="11"/>
        <w:jc w:val="both"/>
        <w:rPr>
          <w:rFonts w:ascii="Times New Roman" w:hAnsi="Times New Roman"/>
          <w:spacing w:val="-1"/>
          <w:sz w:val="24"/>
          <w:szCs w:val="24"/>
        </w:rPr>
      </w:pPr>
      <w:r w:rsidRPr="005E1068">
        <w:rPr>
          <w:rFonts w:ascii="Times New Roman" w:hAnsi="Times New Roman"/>
          <w:spacing w:val="-1"/>
          <w:sz w:val="24"/>
          <w:szCs w:val="24"/>
        </w:rPr>
        <w:t xml:space="preserve">La asociación encontrada entre exposiciones y la enfermedad es fuerte y consistente: las estimaciones de todos los </w:t>
      </w:r>
      <w:proofErr w:type="spellStart"/>
      <w:r w:rsidRPr="005E1068">
        <w:rPr>
          <w:rFonts w:ascii="Times New Roman" w:hAnsi="Times New Roman"/>
          <w:spacing w:val="-1"/>
          <w:sz w:val="24"/>
          <w:szCs w:val="24"/>
        </w:rPr>
        <w:t>odds</w:t>
      </w:r>
      <w:proofErr w:type="spellEnd"/>
      <w:r w:rsidRPr="005E1068">
        <w:rPr>
          <w:rFonts w:ascii="Times New Roman" w:hAnsi="Times New Roman"/>
          <w:spacing w:val="-1"/>
          <w:sz w:val="24"/>
          <w:szCs w:val="24"/>
        </w:rPr>
        <w:t xml:space="preserve"> ratios exceden la unidad, y los OR asociados con exposiciones pasadas más largas fueron notablemente más altos para todas las variables estudiadas.</w:t>
      </w:r>
    </w:p>
    <w:p w14:paraId="6E6A699D" w14:textId="77777777" w:rsidR="009E254D" w:rsidRPr="005E1068" w:rsidRDefault="009E254D" w:rsidP="009E254D">
      <w:pPr>
        <w:shd w:val="clear" w:color="auto" w:fill="FFFFFF"/>
        <w:spacing w:after="0" w:line="276" w:lineRule="auto"/>
        <w:ind w:left="6" w:right="11"/>
        <w:jc w:val="both"/>
        <w:rPr>
          <w:rFonts w:ascii="Times New Roman" w:hAnsi="Times New Roman"/>
          <w:spacing w:val="-1"/>
          <w:sz w:val="24"/>
          <w:szCs w:val="24"/>
        </w:rPr>
      </w:pPr>
    </w:p>
    <w:p w14:paraId="4DF487E6" w14:textId="5DDE2F1C" w:rsidR="00B94762" w:rsidRPr="005E1068" w:rsidRDefault="00B94762" w:rsidP="00B94762">
      <w:pPr>
        <w:shd w:val="clear" w:color="auto" w:fill="FFFFFF"/>
        <w:spacing w:after="0" w:line="276" w:lineRule="auto"/>
        <w:jc w:val="both"/>
        <w:rPr>
          <w:rFonts w:ascii="Times New Roman" w:hAnsi="Times New Roman"/>
          <w:sz w:val="24"/>
          <w:szCs w:val="24"/>
        </w:rPr>
      </w:pPr>
      <w:r w:rsidRPr="005E1068">
        <w:rPr>
          <w:rFonts w:ascii="Times New Roman" w:hAnsi="Times New Roman"/>
          <w:sz w:val="24"/>
          <w:szCs w:val="24"/>
        </w:rPr>
        <w:t>Muchos estudios que han valorado el papel de los agroquímicos en los últimos años han arrojado resultados compatibles con los encontrados en el presente trabajo.</w:t>
      </w:r>
      <w:r w:rsidR="006328F4" w:rsidRPr="005E1068">
        <w:rPr>
          <w:rStyle w:val="Refdenotaalfinal"/>
          <w:rFonts w:ascii="Times New Roman" w:hAnsi="Times New Roman"/>
          <w:sz w:val="24"/>
          <w:szCs w:val="24"/>
          <w:lang w:val="en-US"/>
        </w:rPr>
        <w:endnoteReference w:id="45"/>
      </w:r>
      <w:r w:rsidR="006328F4" w:rsidRPr="005E1068">
        <w:rPr>
          <w:rStyle w:val="Refdenotaalfinal"/>
          <w:rFonts w:ascii="Times New Roman" w:hAnsi="Times New Roman"/>
          <w:sz w:val="24"/>
          <w:szCs w:val="24"/>
        </w:rPr>
        <w:t xml:space="preserve"> </w:t>
      </w:r>
      <w:r w:rsidR="006328F4" w:rsidRPr="005E1068">
        <w:rPr>
          <w:rStyle w:val="Refdenotaalfinal"/>
          <w:rFonts w:ascii="Times New Roman" w:hAnsi="Times New Roman"/>
          <w:sz w:val="24"/>
          <w:szCs w:val="24"/>
          <w:lang w:val="en-US"/>
        </w:rPr>
        <w:endnoteReference w:id="46"/>
      </w:r>
      <w:r w:rsidR="006328F4" w:rsidRPr="005E1068">
        <w:rPr>
          <w:rFonts w:ascii="Times New Roman" w:hAnsi="Times New Roman"/>
          <w:sz w:val="24"/>
          <w:szCs w:val="24"/>
        </w:rPr>
        <w:t xml:space="preserve"> </w:t>
      </w:r>
      <w:r w:rsidRPr="005E1068">
        <w:rPr>
          <w:rFonts w:ascii="Times New Roman" w:hAnsi="Times New Roman"/>
          <w:sz w:val="24"/>
          <w:szCs w:val="24"/>
        </w:rPr>
        <w:t xml:space="preserve"> La mayoría de ellos utilizan el concepto de "significación estadística", como revelan las revisiones sistemáticas. No siempre las asociaciones demostraron ser "estadísticamente significativas" (p &lt;0.05). Teniendo en cuenta estos resultados binarios, los resultados se han considerado incorrectamente como indicadores de si hubo o no un efecto real. En consecuencia, en muchos casos se consideró que la asociación objetivamente encontrada era un “falso positivo”. Aunque este no es el único error comúnmente cometido, es el que aparece con mayor frecuencia en la literatura. El llamado a evitar toda mención a “significación estadística” ha alcanzado el apoyo unánime de los estadís</w:t>
      </w:r>
      <w:r w:rsidR="009E254D" w:rsidRPr="005E1068">
        <w:rPr>
          <w:rFonts w:ascii="Times New Roman" w:hAnsi="Times New Roman"/>
          <w:sz w:val="24"/>
          <w:szCs w:val="24"/>
        </w:rPr>
        <w:t>ticos más reconocidos.</w:t>
      </w:r>
      <w:r w:rsidR="006328F4" w:rsidRPr="005E1068">
        <w:rPr>
          <w:rStyle w:val="Refdenotaalfinal"/>
          <w:rFonts w:ascii="Times New Roman" w:hAnsi="Times New Roman"/>
          <w:sz w:val="24"/>
          <w:szCs w:val="24"/>
          <w:lang w:val="en-US"/>
        </w:rPr>
        <w:endnoteReference w:id="47"/>
      </w:r>
      <w:r w:rsidR="006328F4" w:rsidRPr="005E1068">
        <w:rPr>
          <w:rFonts w:ascii="Times New Roman" w:hAnsi="Times New Roman"/>
          <w:sz w:val="24"/>
          <w:szCs w:val="24"/>
        </w:rPr>
        <w:t xml:space="preserve"> </w:t>
      </w:r>
      <w:r w:rsidRPr="005E1068">
        <w:rPr>
          <w:rFonts w:ascii="Times New Roman" w:hAnsi="Times New Roman"/>
          <w:sz w:val="24"/>
          <w:szCs w:val="24"/>
        </w:rPr>
        <w:t>En consecuencia, no calculamos ningún valor p y eludimos cualquier referencia a este concepto.</w:t>
      </w:r>
    </w:p>
    <w:p w14:paraId="614A4A97" w14:textId="77777777" w:rsidR="009E254D" w:rsidRPr="005E1068" w:rsidRDefault="009E254D" w:rsidP="00772B81">
      <w:pPr>
        <w:shd w:val="clear" w:color="auto" w:fill="FFFFFF"/>
        <w:spacing w:after="0" w:line="360" w:lineRule="auto"/>
        <w:jc w:val="both"/>
        <w:rPr>
          <w:rFonts w:ascii="Times New Roman" w:hAnsi="Times New Roman"/>
          <w:sz w:val="24"/>
          <w:szCs w:val="24"/>
        </w:rPr>
      </w:pPr>
    </w:p>
    <w:p w14:paraId="018FD531" w14:textId="77777777" w:rsidR="009E254D" w:rsidRPr="005E1068" w:rsidRDefault="008F3B6F" w:rsidP="00217DDB">
      <w:pPr>
        <w:shd w:val="clear" w:color="auto" w:fill="FFFFFF"/>
        <w:spacing w:after="0" w:line="276" w:lineRule="auto"/>
        <w:jc w:val="both"/>
        <w:rPr>
          <w:rFonts w:ascii="Times New Roman" w:hAnsi="Times New Roman"/>
          <w:sz w:val="24"/>
          <w:szCs w:val="24"/>
        </w:rPr>
      </w:pPr>
      <w:r w:rsidRPr="005E1068">
        <w:rPr>
          <w:rFonts w:ascii="Times New Roman" w:hAnsi="Times New Roman"/>
          <w:sz w:val="24"/>
          <w:szCs w:val="24"/>
        </w:rPr>
        <w:t>Vale la pena recordar dos advertencias clásicas de Bradford Hill para el análisis de causalidad:</w:t>
      </w:r>
      <w:r w:rsidR="00217DDB" w:rsidRPr="005E1068">
        <w:rPr>
          <w:rStyle w:val="Refdenotaalfinal"/>
          <w:rFonts w:ascii="Times New Roman" w:hAnsi="Times New Roman"/>
          <w:sz w:val="24"/>
          <w:szCs w:val="24"/>
        </w:rPr>
        <w:t xml:space="preserve"> </w:t>
      </w:r>
      <w:r w:rsidR="00217DDB" w:rsidRPr="005E1068">
        <w:rPr>
          <w:rStyle w:val="Refdenotaalfinal"/>
          <w:rFonts w:ascii="Times New Roman" w:hAnsi="Times New Roman"/>
          <w:sz w:val="24"/>
          <w:szCs w:val="24"/>
          <w:lang w:val="en-US"/>
        </w:rPr>
        <w:endnoteReference w:id="48"/>
      </w:r>
      <w:r w:rsidR="00217DDB" w:rsidRPr="005E1068">
        <w:rPr>
          <w:rStyle w:val="Refdenotaalfinal"/>
          <w:rFonts w:ascii="Times New Roman" w:hAnsi="Times New Roman"/>
          <w:spacing w:val="-3"/>
          <w:sz w:val="24"/>
          <w:szCs w:val="24"/>
        </w:rPr>
        <w:t xml:space="preserve"> </w:t>
      </w:r>
      <w:r w:rsidRPr="005E1068">
        <w:rPr>
          <w:rFonts w:ascii="Times New Roman" w:hAnsi="Times New Roman"/>
          <w:sz w:val="24"/>
          <w:szCs w:val="24"/>
        </w:rPr>
        <w:t xml:space="preserve"> que cuanto más fuerte es la asociación, menos probable es que terceros factores (de confusión) puedan explicarla</w:t>
      </w:r>
      <w:r w:rsidR="009E254D" w:rsidRPr="005E1068">
        <w:rPr>
          <w:rFonts w:ascii="Times New Roman" w:hAnsi="Times New Roman"/>
          <w:sz w:val="24"/>
          <w:szCs w:val="24"/>
        </w:rPr>
        <w:t>,</w:t>
      </w:r>
      <w:r w:rsidRPr="005E1068">
        <w:rPr>
          <w:rFonts w:ascii="Times New Roman" w:hAnsi="Times New Roman"/>
          <w:sz w:val="24"/>
          <w:szCs w:val="24"/>
        </w:rPr>
        <w:t xml:space="preserve"> y que si existe una relación de exposición-res</w:t>
      </w:r>
      <w:r w:rsidR="00217DDB" w:rsidRPr="005E1068">
        <w:rPr>
          <w:rFonts w:ascii="Times New Roman" w:hAnsi="Times New Roman"/>
          <w:sz w:val="24"/>
          <w:szCs w:val="24"/>
        </w:rPr>
        <w:t>puesta, es más probable que e</w:t>
      </w:r>
      <w:r w:rsidRPr="005E1068">
        <w:rPr>
          <w:rFonts w:ascii="Times New Roman" w:hAnsi="Times New Roman"/>
          <w:sz w:val="24"/>
          <w:szCs w:val="24"/>
        </w:rPr>
        <w:t>l fac</w:t>
      </w:r>
      <w:r w:rsidR="00217DDB" w:rsidRPr="005E1068">
        <w:rPr>
          <w:rFonts w:ascii="Times New Roman" w:hAnsi="Times New Roman"/>
          <w:sz w:val="24"/>
          <w:szCs w:val="24"/>
        </w:rPr>
        <w:t>tor de riesgo hipotético influya</w:t>
      </w:r>
      <w:r w:rsidRPr="005E1068">
        <w:rPr>
          <w:rFonts w:ascii="Times New Roman" w:hAnsi="Times New Roman"/>
          <w:sz w:val="24"/>
          <w:szCs w:val="24"/>
        </w:rPr>
        <w:t xml:space="preserve"> en la aparición de la enfermedad. Ambas condiciones se manifiestan </w:t>
      </w:r>
      <w:r w:rsidR="009E254D" w:rsidRPr="005E1068">
        <w:rPr>
          <w:rFonts w:ascii="Times New Roman" w:hAnsi="Times New Roman"/>
          <w:sz w:val="24"/>
          <w:szCs w:val="24"/>
        </w:rPr>
        <w:t>consistentemente</w:t>
      </w:r>
      <w:r w:rsidRPr="005E1068">
        <w:rPr>
          <w:rFonts w:ascii="Times New Roman" w:hAnsi="Times New Roman"/>
          <w:sz w:val="24"/>
          <w:szCs w:val="24"/>
        </w:rPr>
        <w:t xml:space="preserve"> en nuestro estudio. </w:t>
      </w:r>
    </w:p>
    <w:p w14:paraId="391CBAE6" w14:textId="77777777" w:rsidR="009E254D" w:rsidRPr="005E1068" w:rsidRDefault="009E254D" w:rsidP="00217DDB">
      <w:pPr>
        <w:shd w:val="clear" w:color="auto" w:fill="FFFFFF"/>
        <w:spacing w:after="0" w:line="276" w:lineRule="auto"/>
        <w:jc w:val="both"/>
        <w:rPr>
          <w:rFonts w:ascii="Times New Roman" w:hAnsi="Times New Roman"/>
          <w:sz w:val="24"/>
          <w:szCs w:val="24"/>
        </w:rPr>
      </w:pPr>
    </w:p>
    <w:p w14:paraId="4555F939" w14:textId="6F5A285A" w:rsidR="00217DDB" w:rsidRPr="005E1068" w:rsidRDefault="00217DDB" w:rsidP="00217DDB">
      <w:pPr>
        <w:shd w:val="clear" w:color="auto" w:fill="FFFFFF"/>
        <w:spacing w:after="0" w:line="276" w:lineRule="auto"/>
        <w:jc w:val="both"/>
        <w:rPr>
          <w:rFonts w:ascii="Times New Roman" w:hAnsi="Times New Roman"/>
          <w:sz w:val="24"/>
          <w:szCs w:val="24"/>
          <w:lang w:val="es-ES_tradnl"/>
        </w:rPr>
      </w:pPr>
      <w:r w:rsidRPr="005E1068">
        <w:rPr>
          <w:rStyle w:val="apple-style-span"/>
          <w:rFonts w:ascii="Times New Roman" w:hAnsi="Times New Roman"/>
          <w:sz w:val="24"/>
          <w:szCs w:val="24"/>
          <w:lang w:val="es-ES_tradnl"/>
        </w:rPr>
        <w:t xml:space="preserve">También se debe tener en cuenta que todas las estimaciones (tanto los 74 </w:t>
      </w:r>
      <w:proofErr w:type="spellStart"/>
      <w:r w:rsidRPr="005E1068">
        <w:rPr>
          <w:rStyle w:val="apple-style-span"/>
          <w:rFonts w:ascii="Times New Roman" w:hAnsi="Times New Roman"/>
          <w:sz w:val="24"/>
          <w:szCs w:val="24"/>
          <w:lang w:val="es-ES_tradnl"/>
        </w:rPr>
        <w:t>odds</w:t>
      </w:r>
      <w:proofErr w:type="spellEnd"/>
      <w:r w:rsidRPr="005E1068">
        <w:rPr>
          <w:rStyle w:val="apple-style-span"/>
          <w:rFonts w:ascii="Times New Roman" w:hAnsi="Times New Roman"/>
          <w:sz w:val="24"/>
          <w:szCs w:val="24"/>
          <w:lang w:val="es-ES_tradnl"/>
        </w:rPr>
        <w:t xml:space="preserve"> ratios como las 24 diferencias de medias) estarían </w:t>
      </w:r>
      <w:r w:rsidR="009E254D" w:rsidRPr="005E1068">
        <w:rPr>
          <w:rStyle w:val="apple-style-span"/>
          <w:rFonts w:ascii="Times New Roman" w:hAnsi="Times New Roman"/>
          <w:sz w:val="24"/>
          <w:szCs w:val="24"/>
          <w:lang w:val="es-ES_tradnl"/>
        </w:rPr>
        <w:t xml:space="preserve">incluso </w:t>
      </w:r>
      <w:r w:rsidRPr="005E1068">
        <w:rPr>
          <w:rStyle w:val="apple-style-span"/>
          <w:rFonts w:ascii="Times New Roman" w:hAnsi="Times New Roman"/>
          <w:sz w:val="24"/>
          <w:szCs w:val="24"/>
          <w:lang w:val="es-ES_tradnl"/>
        </w:rPr>
        <w:t>por debajo de las reales, debido al "sesgo de incidencia-prevalencia", presente cuando la exposición está relacionada, no solo con la incidencia, sino también con la supervivencia.</w:t>
      </w:r>
      <w:r w:rsidRPr="005E1068">
        <w:rPr>
          <w:rStyle w:val="Refdenotaalfinal"/>
          <w:rFonts w:ascii="Times New Roman" w:hAnsi="Times New Roman"/>
          <w:sz w:val="24"/>
          <w:szCs w:val="24"/>
          <w:lang w:val="es-ES_tradnl"/>
        </w:rPr>
        <w:t xml:space="preserve"> </w:t>
      </w:r>
      <w:r w:rsidR="009E254D" w:rsidRPr="005E1068">
        <w:rPr>
          <w:rFonts w:ascii="Times New Roman" w:hAnsi="Times New Roman"/>
          <w:sz w:val="24"/>
          <w:szCs w:val="24"/>
          <w:lang w:val="es-ES_tradnl"/>
        </w:rPr>
        <w:t>En efecto, s</w:t>
      </w:r>
      <w:r w:rsidRPr="005E1068">
        <w:rPr>
          <w:rFonts w:ascii="Times New Roman" w:hAnsi="Times New Roman"/>
          <w:sz w:val="24"/>
          <w:szCs w:val="24"/>
          <w:lang w:val="es-ES_tradnl"/>
        </w:rPr>
        <w:t xml:space="preserve">i la exposición a pesticidas está causalmente asociada con un incremento de la ERC (incidencia), resulta razonable asumir que a los pacientes con ERC que hubiesen estado expuestos les corresponda una supervivencia menor que la de aquellos que no lo estuvieron, lo cual produciría que los OR (o la razón de prevalencias) tendería a sobrestimar el riesgo relativo (razón de incidencias). </w:t>
      </w:r>
    </w:p>
    <w:p w14:paraId="6CE35F86" w14:textId="4494C557" w:rsidR="00B1218E" w:rsidRPr="005E1068" w:rsidRDefault="00B1218E" w:rsidP="00772B81">
      <w:pPr>
        <w:shd w:val="clear" w:color="auto" w:fill="FFFFFF"/>
        <w:spacing w:after="0" w:line="360" w:lineRule="auto"/>
        <w:jc w:val="both"/>
        <w:rPr>
          <w:rStyle w:val="apple-style-span"/>
          <w:rFonts w:ascii="Times New Roman" w:hAnsi="Times New Roman"/>
          <w:sz w:val="24"/>
          <w:szCs w:val="24"/>
          <w:lang w:val="es-ES_tradnl"/>
        </w:rPr>
      </w:pPr>
    </w:p>
    <w:p w14:paraId="65B63ED4" w14:textId="6C94A0B6" w:rsidR="00E777B2" w:rsidRPr="005E1068" w:rsidRDefault="00FF24B9" w:rsidP="00FF24B9">
      <w:pPr>
        <w:shd w:val="clear" w:color="auto" w:fill="FFFFFF"/>
        <w:spacing w:after="0" w:line="276" w:lineRule="auto"/>
        <w:jc w:val="both"/>
        <w:rPr>
          <w:rStyle w:val="apple-style-span"/>
          <w:rFonts w:ascii="Times New Roman" w:hAnsi="Times New Roman"/>
          <w:sz w:val="24"/>
          <w:szCs w:val="24"/>
          <w:lang w:val="es-US"/>
        </w:rPr>
      </w:pPr>
      <w:r w:rsidRPr="005E1068">
        <w:rPr>
          <w:rStyle w:val="apple-style-span"/>
          <w:rFonts w:ascii="Times New Roman" w:hAnsi="Times New Roman"/>
          <w:sz w:val="24"/>
          <w:szCs w:val="24"/>
        </w:rPr>
        <w:t xml:space="preserve">La conjetura </w:t>
      </w:r>
      <w:r w:rsidR="00E777B2" w:rsidRPr="005E1068">
        <w:rPr>
          <w:rStyle w:val="apple-style-span"/>
          <w:rFonts w:ascii="Times New Roman" w:hAnsi="Times New Roman"/>
          <w:sz w:val="24"/>
          <w:szCs w:val="24"/>
        </w:rPr>
        <w:t>acerca</w:t>
      </w:r>
      <w:r w:rsidRPr="005E1068">
        <w:rPr>
          <w:rStyle w:val="apple-style-span"/>
          <w:rFonts w:ascii="Times New Roman" w:hAnsi="Times New Roman"/>
          <w:sz w:val="24"/>
          <w:szCs w:val="24"/>
        </w:rPr>
        <w:t xml:space="preserve"> </w:t>
      </w:r>
      <w:r w:rsidR="00E777B2" w:rsidRPr="005E1068">
        <w:rPr>
          <w:rStyle w:val="apple-style-span"/>
          <w:rFonts w:ascii="Times New Roman" w:hAnsi="Times New Roman"/>
          <w:sz w:val="24"/>
          <w:szCs w:val="24"/>
        </w:rPr>
        <w:t>d</w:t>
      </w:r>
      <w:r w:rsidRPr="005E1068">
        <w:rPr>
          <w:rStyle w:val="apple-style-span"/>
          <w:rFonts w:ascii="Times New Roman" w:hAnsi="Times New Roman"/>
          <w:sz w:val="24"/>
          <w:szCs w:val="24"/>
        </w:rPr>
        <w:t xml:space="preserve">el papel de los agroquímicos gana credibilidad adicional cuando se </w:t>
      </w:r>
      <w:r w:rsidR="00E777B2" w:rsidRPr="005E1068">
        <w:rPr>
          <w:rStyle w:val="apple-style-span"/>
          <w:rFonts w:ascii="Times New Roman" w:hAnsi="Times New Roman"/>
          <w:sz w:val="24"/>
          <w:szCs w:val="24"/>
        </w:rPr>
        <w:t>repara en</w:t>
      </w:r>
      <w:r w:rsidRPr="005E1068">
        <w:rPr>
          <w:rStyle w:val="apple-style-span"/>
          <w:rFonts w:ascii="Times New Roman" w:hAnsi="Times New Roman"/>
          <w:sz w:val="24"/>
          <w:szCs w:val="24"/>
        </w:rPr>
        <w:t xml:space="preserve"> que algunos plaguicidas </w:t>
      </w:r>
      <w:r w:rsidR="00E777B2" w:rsidRPr="005E1068">
        <w:rPr>
          <w:rFonts w:ascii="Times New Roman" w:hAnsi="Times New Roman"/>
          <w:sz w:val="24"/>
          <w:szCs w:val="24"/>
        </w:rPr>
        <w:t xml:space="preserve">empleados con regularidad en Centroamérica </w:t>
      </w:r>
      <w:r w:rsidRPr="005E1068">
        <w:rPr>
          <w:rStyle w:val="apple-style-span"/>
          <w:rFonts w:ascii="Times New Roman" w:hAnsi="Times New Roman"/>
          <w:sz w:val="24"/>
          <w:szCs w:val="24"/>
        </w:rPr>
        <w:t>se han documentado como agente</w:t>
      </w:r>
      <w:r w:rsidR="00CF7F0D" w:rsidRPr="005E1068">
        <w:rPr>
          <w:rStyle w:val="apple-style-span"/>
          <w:rFonts w:ascii="Times New Roman" w:hAnsi="Times New Roman"/>
          <w:sz w:val="24"/>
          <w:szCs w:val="24"/>
        </w:rPr>
        <w:t xml:space="preserve">s </w:t>
      </w:r>
      <w:proofErr w:type="spellStart"/>
      <w:r w:rsidR="00CF7F0D" w:rsidRPr="005E1068">
        <w:rPr>
          <w:rStyle w:val="apple-style-span"/>
          <w:rFonts w:ascii="Times New Roman" w:hAnsi="Times New Roman"/>
          <w:sz w:val="24"/>
          <w:szCs w:val="24"/>
        </w:rPr>
        <w:t>nefrotóxicos</w:t>
      </w:r>
      <w:proofErr w:type="spellEnd"/>
      <w:r w:rsidR="00CF7F0D" w:rsidRPr="005E1068">
        <w:rPr>
          <w:rStyle w:val="apple-style-span"/>
          <w:rFonts w:ascii="Times New Roman" w:hAnsi="Times New Roman"/>
          <w:sz w:val="24"/>
          <w:szCs w:val="24"/>
        </w:rPr>
        <w:t xml:space="preserve"> durante décadas,</w:t>
      </w:r>
      <w:r w:rsidR="00E777B2" w:rsidRPr="005E1068">
        <w:rPr>
          <w:rStyle w:val="Refdenotaalfinal"/>
          <w:rFonts w:ascii="Times New Roman" w:hAnsi="Times New Roman"/>
          <w:sz w:val="24"/>
          <w:szCs w:val="24"/>
          <w:lang w:val="en-US"/>
        </w:rPr>
        <w:endnoteReference w:id="49"/>
      </w:r>
      <w:r w:rsidR="00E777B2" w:rsidRPr="005E1068">
        <w:rPr>
          <w:rFonts w:ascii="Times New Roman" w:hAnsi="Times New Roman"/>
          <w:sz w:val="24"/>
          <w:szCs w:val="24"/>
        </w:rPr>
        <w:t xml:space="preserve"> </w:t>
      </w:r>
      <w:r w:rsidR="00E777B2" w:rsidRPr="005E1068">
        <w:rPr>
          <w:rStyle w:val="Refdenotaalfinal"/>
          <w:rFonts w:ascii="Times New Roman" w:hAnsi="Times New Roman"/>
          <w:sz w:val="24"/>
          <w:szCs w:val="24"/>
          <w:lang w:val="en-US"/>
        </w:rPr>
        <w:endnoteReference w:id="50"/>
      </w:r>
      <w:r w:rsidR="00E777B2" w:rsidRPr="005E1068">
        <w:rPr>
          <w:rFonts w:ascii="Times New Roman" w:hAnsi="Times New Roman"/>
          <w:sz w:val="24"/>
          <w:szCs w:val="24"/>
        </w:rPr>
        <w:t xml:space="preserve"> </w:t>
      </w:r>
      <w:r w:rsidR="00E777B2" w:rsidRPr="005E1068">
        <w:rPr>
          <w:rStyle w:val="Refdenotaalfinal"/>
          <w:rFonts w:ascii="Times New Roman" w:hAnsi="Times New Roman"/>
          <w:sz w:val="24"/>
          <w:szCs w:val="24"/>
          <w:lang w:val="en-US"/>
        </w:rPr>
        <w:endnoteReference w:id="51"/>
      </w:r>
      <w:r w:rsidR="00E777B2" w:rsidRPr="005E1068">
        <w:rPr>
          <w:rFonts w:ascii="Times New Roman" w:hAnsi="Times New Roman"/>
          <w:sz w:val="24"/>
          <w:szCs w:val="24"/>
        </w:rPr>
        <w:t xml:space="preserve"> </w:t>
      </w:r>
      <w:r w:rsidRPr="005E1068">
        <w:rPr>
          <w:rStyle w:val="apple-style-span"/>
          <w:rFonts w:ascii="Times New Roman" w:hAnsi="Times New Roman"/>
          <w:sz w:val="24"/>
          <w:szCs w:val="24"/>
        </w:rPr>
        <w:t>un hecho que se ha enfatizado repetidamente en los últimos años</w:t>
      </w:r>
      <w:r w:rsidR="00E777B2" w:rsidRPr="005E1068">
        <w:rPr>
          <w:rStyle w:val="Refdenotaalfinal"/>
          <w:rFonts w:ascii="Times New Roman" w:hAnsi="Times New Roman"/>
          <w:sz w:val="24"/>
          <w:szCs w:val="24"/>
          <w:lang w:val="en-US"/>
        </w:rPr>
        <w:endnoteReference w:id="52"/>
      </w:r>
      <w:r w:rsidR="00E777B2" w:rsidRPr="005E1068">
        <w:rPr>
          <w:rFonts w:ascii="Times New Roman" w:hAnsi="Times New Roman"/>
          <w:sz w:val="24"/>
          <w:szCs w:val="24"/>
        </w:rPr>
        <w:t xml:space="preserve"> </w:t>
      </w:r>
      <w:r w:rsidR="00E777B2" w:rsidRPr="005E1068">
        <w:rPr>
          <w:rStyle w:val="Refdenotaalfinal"/>
          <w:rFonts w:ascii="Times New Roman" w:hAnsi="Times New Roman"/>
          <w:sz w:val="24"/>
          <w:szCs w:val="24"/>
          <w:lang w:val="en-US"/>
        </w:rPr>
        <w:endnoteReference w:id="53"/>
      </w:r>
      <w:r w:rsidR="00E777B2" w:rsidRPr="005E1068">
        <w:rPr>
          <w:rFonts w:ascii="Times New Roman" w:hAnsi="Times New Roman"/>
          <w:sz w:val="24"/>
          <w:szCs w:val="24"/>
        </w:rPr>
        <w:t xml:space="preserve"> </w:t>
      </w:r>
      <w:r w:rsidR="00E777B2" w:rsidRPr="005E1068">
        <w:rPr>
          <w:rStyle w:val="Refdenotaalfinal"/>
          <w:rFonts w:ascii="Times New Roman" w:hAnsi="Times New Roman"/>
          <w:sz w:val="24"/>
          <w:szCs w:val="24"/>
          <w:lang w:val="en-US"/>
        </w:rPr>
        <w:endnoteReference w:id="54"/>
      </w:r>
      <w:r w:rsidR="00E777B2" w:rsidRPr="005E1068">
        <w:rPr>
          <w:rFonts w:ascii="Times New Roman" w:hAnsi="Times New Roman"/>
          <w:sz w:val="24"/>
          <w:szCs w:val="24"/>
        </w:rPr>
        <w:t xml:space="preserve"> </w:t>
      </w:r>
      <w:r w:rsidR="00E777B2" w:rsidRPr="005E1068">
        <w:rPr>
          <w:rStyle w:val="Refdenotaalfinal"/>
          <w:rFonts w:ascii="Times New Roman" w:hAnsi="Times New Roman"/>
          <w:sz w:val="24"/>
          <w:szCs w:val="24"/>
          <w:lang w:val="en-US"/>
        </w:rPr>
        <w:endnoteReference w:id="55"/>
      </w:r>
      <w:r w:rsidR="00E777B2" w:rsidRPr="005E1068">
        <w:rPr>
          <w:rFonts w:ascii="Times New Roman" w:hAnsi="Times New Roman"/>
          <w:sz w:val="24"/>
          <w:szCs w:val="24"/>
        </w:rPr>
        <w:t xml:space="preserve"> </w:t>
      </w:r>
      <w:r w:rsidRPr="005E1068">
        <w:rPr>
          <w:rStyle w:val="apple-style-span"/>
          <w:rFonts w:ascii="Times New Roman" w:hAnsi="Times New Roman"/>
          <w:sz w:val="24"/>
          <w:szCs w:val="24"/>
        </w:rPr>
        <w:t xml:space="preserve"> y </w:t>
      </w:r>
      <w:r w:rsidR="00CF7F0D" w:rsidRPr="005E1068">
        <w:rPr>
          <w:rStyle w:val="apple-style-span"/>
          <w:rFonts w:ascii="Times New Roman" w:hAnsi="Times New Roman"/>
          <w:sz w:val="24"/>
          <w:szCs w:val="24"/>
        </w:rPr>
        <w:t xml:space="preserve">que </w:t>
      </w:r>
      <w:r w:rsidRPr="005E1068">
        <w:rPr>
          <w:rStyle w:val="apple-style-span"/>
          <w:rFonts w:ascii="Times New Roman" w:hAnsi="Times New Roman"/>
          <w:sz w:val="24"/>
          <w:szCs w:val="24"/>
        </w:rPr>
        <w:t xml:space="preserve">se destacó </w:t>
      </w:r>
      <w:r w:rsidR="00E777B2" w:rsidRPr="005E1068">
        <w:rPr>
          <w:rStyle w:val="apple-style-span"/>
          <w:rFonts w:ascii="Times New Roman" w:hAnsi="Times New Roman"/>
          <w:sz w:val="24"/>
          <w:szCs w:val="24"/>
        </w:rPr>
        <w:t>de nuevo</w:t>
      </w:r>
      <w:r w:rsidRPr="005E1068">
        <w:rPr>
          <w:rStyle w:val="apple-style-span"/>
          <w:rFonts w:ascii="Times New Roman" w:hAnsi="Times New Roman"/>
          <w:sz w:val="24"/>
          <w:szCs w:val="24"/>
        </w:rPr>
        <w:t xml:space="preserve"> más recientemente</w:t>
      </w:r>
      <w:r w:rsidR="00E777B2" w:rsidRPr="005E1068">
        <w:rPr>
          <w:rStyle w:val="apple-style-span"/>
          <w:rFonts w:ascii="Times New Roman" w:hAnsi="Times New Roman"/>
          <w:sz w:val="24"/>
          <w:szCs w:val="24"/>
        </w:rPr>
        <w:t xml:space="preserve"> en el</w:t>
      </w:r>
      <w:r w:rsidRPr="005E1068">
        <w:rPr>
          <w:rStyle w:val="apple-style-span"/>
          <w:rFonts w:ascii="Times New Roman" w:hAnsi="Times New Roman"/>
          <w:sz w:val="24"/>
          <w:szCs w:val="24"/>
        </w:rPr>
        <w:t xml:space="preserve"> contexto de </w:t>
      </w:r>
      <w:r w:rsidR="00CF7F0D" w:rsidRPr="005E1068">
        <w:rPr>
          <w:rStyle w:val="apple-style-span"/>
          <w:rFonts w:ascii="Times New Roman" w:hAnsi="Times New Roman"/>
          <w:sz w:val="24"/>
          <w:szCs w:val="24"/>
        </w:rPr>
        <w:t>la emergencia sanitaria actual.</w:t>
      </w:r>
      <w:r w:rsidR="00E777B2" w:rsidRPr="005E1068">
        <w:rPr>
          <w:rStyle w:val="Refdenotaalfinal"/>
          <w:rFonts w:ascii="Times New Roman" w:hAnsi="Times New Roman"/>
          <w:sz w:val="24"/>
          <w:szCs w:val="24"/>
          <w:lang w:val="en-US"/>
        </w:rPr>
        <w:endnoteReference w:id="56"/>
      </w:r>
      <w:r w:rsidR="00E777B2" w:rsidRPr="005E1068">
        <w:rPr>
          <w:rStyle w:val="apple-style-span"/>
          <w:rFonts w:ascii="Times New Roman" w:hAnsi="Times New Roman"/>
          <w:sz w:val="24"/>
          <w:szCs w:val="24"/>
        </w:rPr>
        <w:t xml:space="preserve"> </w:t>
      </w:r>
      <w:r w:rsidR="00E777B2" w:rsidRPr="005E1068">
        <w:rPr>
          <w:rStyle w:val="Refdenotaalfinal"/>
          <w:rFonts w:ascii="Times New Roman" w:hAnsi="Times New Roman"/>
          <w:sz w:val="24"/>
          <w:szCs w:val="24"/>
        </w:rPr>
        <w:t>4</w:t>
      </w:r>
      <w:r w:rsidR="00E777B2" w:rsidRPr="005E1068">
        <w:rPr>
          <w:rFonts w:ascii="Times New Roman" w:hAnsi="Times New Roman"/>
          <w:sz w:val="24"/>
          <w:szCs w:val="24"/>
          <w:vertAlign w:val="superscript"/>
          <w:lang w:val="es-US"/>
        </w:rPr>
        <w:t>7</w:t>
      </w:r>
    </w:p>
    <w:p w14:paraId="18F1D239" w14:textId="01AF98FC" w:rsidR="00E777B2" w:rsidRPr="005E1068" w:rsidRDefault="00E777B2" w:rsidP="00FF24B9">
      <w:pPr>
        <w:shd w:val="clear" w:color="auto" w:fill="FFFFFF"/>
        <w:spacing w:after="0" w:line="276" w:lineRule="auto"/>
        <w:jc w:val="both"/>
        <w:rPr>
          <w:rStyle w:val="apple-style-span"/>
          <w:rFonts w:ascii="Times New Roman" w:hAnsi="Times New Roman"/>
          <w:sz w:val="24"/>
          <w:szCs w:val="24"/>
          <w:lang w:val="en-US"/>
        </w:rPr>
      </w:pPr>
    </w:p>
    <w:p w14:paraId="488CA19C" w14:textId="25E81A9A" w:rsidR="00E777B2" w:rsidRPr="005E1068" w:rsidRDefault="00E777B2" w:rsidP="00FF24B9">
      <w:pPr>
        <w:shd w:val="clear" w:color="auto" w:fill="FFFFFF"/>
        <w:spacing w:after="0" w:line="276" w:lineRule="auto"/>
        <w:jc w:val="both"/>
        <w:rPr>
          <w:rStyle w:val="apple-style-span"/>
          <w:rFonts w:ascii="Times New Roman" w:hAnsi="Times New Roman"/>
          <w:sz w:val="24"/>
          <w:szCs w:val="24"/>
        </w:rPr>
      </w:pPr>
      <w:r w:rsidRPr="005E1068">
        <w:rPr>
          <w:rStyle w:val="apple-style-span"/>
          <w:rFonts w:ascii="Times New Roman" w:hAnsi="Times New Roman"/>
          <w:sz w:val="24"/>
          <w:szCs w:val="24"/>
        </w:rPr>
        <w:t xml:space="preserve">Por ejemplo, el glifosato (un herbicida organofosforado comercializado como </w:t>
      </w:r>
      <w:proofErr w:type="spellStart"/>
      <w:r w:rsidRPr="005E1068">
        <w:rPr>
          <w:rStyle w:val="apple-style-span"/>
          <w:rFonts w:ascii="Times New Roman" w:hAnsi="Times New Roman"/>
          <w:sz w:val="24"/>
          <w:szCs w:val="24"/>
        </w:rPr>
        <w:t>Roundup</w:t>
      </w:r>
      <w:proofErr w:type="spellEnd"/>
      <w:r w:rsidRPr="005E1068">
        <w:rPr>
          <w:rStyle w:val="apple-style-span"/>
          <w:rFonts w:ascii="Times New Roman" w:hAnsi="Times New Roman"/>
          <w:sz w:val="24"/>
          <w:szCs w:val="24"/>
        </w:rPr>
        <w:t xml:space="preserve"> por Bayer-Monsanto) se ha considerado como un agente que compromete la función renal</w:t>
      </w:r>
      <w:r w:rsidRPr="005E1068">
        <w:rPr>
          <w:rStyle w:val="Refdenotaalfinal"/>
          <w:rFonts w:ascii="Times New Roman" w:hAnsi="Times New Roman"/>
          <w:sz w:val="24"/>
          <w:szCs w:val="24"/>
          <w:lang w:val="en-US"/>
        </w:rPr>
        <w:endnoteReference w:id="57"/>
      </w:r>
      <w:r w:rsidRPr="005E1068">
        <w:rPr>
          <w:rStyle w:val="apple-style-span"/>
          <w:rFonts w:ascii="Times New Roman" w:hAnsi="Times New Roman"/>
          <w:sz w:val="24"/>
          <w:szCs w:val="24"/>
        </w:rPr>
        <w:t xml:space="preserve"> </w:t>
      </w:r>
      <w:r w:rsidRPr="005E1068">
        <w:rPr>
          <w:rStyle w:val="Refdenotaalfinal"/>
          <w:rFonts w:ascii="Times New Roman" w:hAnsi="Times New Roman"/>
          <w:sz w:val="24"/>
          <w:szCs w:val="24"/>
          <w:lang w:val="en-US"/>
        </w:rPr>
        <w:endnoteReference w:id="58"/>
      </w:r>
      <w:r w:rsidRPr="005E1068">
        <w:rPr>
          <w:rStyle w:val="apple-style-span"/>
          <w:rFonts w:ascii="Times New Roman" w:hAnsi="Times New Roman"/>
          <w:sz w:val="24"/>
          <w:szCs w:val="24"/>
        </w:rPr>
        <w:t xml:space="preserve"> y, por lo tanto, como un posible factor facilitador de la epidemia.</w:t>
      </w:r>
      <w:r w:rsidRPr="005E1068">
        <w:rPr>
          <w:rStyle w:val="Refdenotaalfinal"/>
          <w:rFonts w:ascii="Times New Roman" w:hAnsi="Times New Roman"/>
          <w:sz w:val="24"/>
          <w:szCs w:val="24"/>
          <w:lang w:val="en-US"/>
        </w:rPr>
        <w:endnoteReference w:id="59"/>
      </w:r>
      <w:r w:rsidRPr="005E1068">
        <w:rPr>
          <w:rStyle w:val="apple-style-span"/>
          <w:rFonts w:ascii="Times New Roman" w:hAnsi="Times New Roman"/>
          <w:sz w:val="24"/>
          <w:szCs w:val="24"/>
        </w:rPr>
        <w:t xml:space="preserve"> </w:t>
      </w:r>
      <w:r w:rsidRPr="005E1068">
        <w:rPr>
          <w:rStyle w:val="Refdenotaalfinal"/>
          <w:rFonts w:ascii="Times New Roman" w:hAnsi="Times New Roman"/>
          <w:sz w:val="24"/>
          <w:szCs w:val="24"/>
          <w:lang w:val="en-US"/>
        </w:rPr>
        <w:endnoteReference w:id="60"/>
      </w:r>
      <w:r w:rsidRPr="005E1068">
        <w:rPr>
          <w:rStyle w:val="apple-style-span"/>
          <w:rFonts w:ascii="Times New Roman" w:hAnsi="Times New Roman"/>
          <w:sz w:val="24"/>
          <w:szCs w:val="24"/>
        </w:rPr>
        <w:t xml:space="preserve">  Este peligroso herbicida está sujeto a la prohibición directa o restricciones sever</w:t>
      </w:r>
      <w:r w:rsidR="00CF7F0D" w:rsidRPr="005E1068">
        <w:rPr>
          <w:rStyle w:val="apple-style-span"/>
          <w:rFonts w:ascii="Times New Roman" w:hAnsi="Times New Roman"/>
          <w:sz w:val="24"/>
          <w:szCs w:val="24"/>
        </w:rPr>
        <w:t>as en muchas regiones o países.</w:t>
      </w:r>
      <w:r w:rsidRPr="005E1068">
        <w:rPr>
          <w:rStyle w:val="Refdenotaalfinal"/>
          <w:rFonts w:ascii="Times New Roman" w:hAnsi="Times New Roman"/>
          <w:sz w:val="24"/>
          <w:szCs w:val="24"/>
          <w:lang w:val="es-ES_tradnl"/>
        </w:rPr>
        <w:t>4</w:t>
      </w:r>
      <w:r w:rsidRPr="005E1068">
        <w:rPr>
          <w:rFonts w:ascii="Times New Roman" w:hAnsi="Times New Roman"/>
          <w:sz w:val="24"/>
          <w:szCs w:val="24"/>
          <w:vertAlign w:val="superscript"/>
        </w:rPr>
        <w:t>7</w:t>
      </w:r>
      <w:r w:rsidRPr="005E1068">
        <w:rPr>
          <w:rStyle w:val="apple-style-span"/>
          <w:rFonts w:ascii="Times New Roman" w:hAnsi="Times New Roman"/>
          <w:sz w:val="24"/>
          <w:szCs w:val="24"/>
        </w:rPr>
        <w:t xml:space="preserve"> Algo similar ocurre con el </w:t>
      </w:r>
      <w:proofErr w:type="spellStart"/>
      <w:r w:rsidRPr="005E1068">
        <w:rPr>
          <w:rStyle w:val="apple-style-span"/>
          <w:rFonts w:ascii="Times New Roman" w:hAnsi="Times New Roman"/>
          <w:sz w:val="24"/>
          <w:szCs w:val="24"/>
        </w:rPr>
        <w:t>paraquat</w:t>
      </w:r>
      <w:proofErr w:type="spellEnd"/>
      <w:r w:rsidRPr="005E1068">
        <w:rPr>
          <w:rStyle w:val="apple-style-span"/>
          <w:rFonts w:ascii="Times New Roman" w:hAnsi="Times New Roman"/>
          <w:sz w:val="24"/>
          <w:szCs w:val="24"/>
        </w:rPr>
        <w:t xml:space="preserve">, un pesticida repetidamente descrito como </w:t>
      </w:r>
      <w:proofErr w:type="spellStart"/>
      <w:r w:rsidRPr="005E1068">
        <w:rPr>
          <w:rStyle w:val="apple-style-span"/>
          <w:rFonts w:ascii="Times New Roman" w:hAnsi="Times New Roman"/>
          <w:sz w:val="24"/>
          <w:szCs w:val="24"/>
        </w:rPr>
        <w:t>nefrotóxico</w:t>
      </w:r>
      <w:proofErr w:type="spellEnd"/>
      <w:r w:rsidRPr="005E1068">
        <w:rPr>
          <w:rStyle w:val="apple-style-span"/>
          <w:rFonts w:ascii="Times New Roman" w:hAnsi="Times New Roman"/>
          <w:sz w:val="24"/>
          <w:szCs w:val="24"/>
        </w:rPr>
        <w:t xml:space="preserve"> en humanos.</w:t>
      </w:r>
      <w:r w:rsidR="00CF7F0D" w:rsidRPr="005E1068">
        <w:rPr>
          <w:rStyle w:val="Refdenotaalfinal"/>
          <w:rFonts w:ascii="Times New Roman" w:hAnsi="Times New Roman"/>
          <w:sz w:val="24"/>
          <w:szCs w:val="24"/>
          <w:lang w:val="es-US"/>
        </w:rPr>
        <w:t xml:space="preserve"> </w:t>
      </w:r>
      <w:r w:rsidR="00CF7F0D" w:rsidRPr="005E1068">
        <w:rPr>
          <w:rStyle w:val="Refdenotaalfinal"/>
          <w:rFonts w:ascii="Times New Roman" w:hAnsi="Times New Roman"/>
          <w:sz w:val="24"/>
          <w:szCs w:val="24"/>
          <w:lang w:val="en-US"/>
        </w:rPr>
        <w:endnoteReference w:id="61"/>
      </w:r>
      <w:r w:rsidR="00CF7F0D" w:rsidRPr="005E1068">
        <w:rPr>
          <w:rFonts w:ascii="Times New Roman" w:hAnsi="Times New Roman"/>
          <w:sz w:val="24"/>
          <w:szCs w:val="24"/>
          <w:lang w:val="es-US"/>
        </w:rPr>
        <w:t xml:space="preserve"> </w:t>
      </w:r>
      <w:r w:rsidR="00CF7F0D" w:rsidRPr="005E1068">
        <w:rPr>
          <w:rStyle w:val="Refdenotaalfinal"/>
          <w:rFonts w:ascii="Times New Roman" w:hAnsi="Times New Roman"/>
          <w:sz w:val="24"/>
          <w:szCs w:val="24"/>
          <w:lang w:val="en-US"/>
        </w:rPr>
        <w:endnoteReference w:id="62"/>
      </w:r>
      <w:r w:rsidR="00CF7F0D" w:rsidRPr="005E1068">
        <w:rPr>
          <w:rFonts w:ascii="Times New Roman" w:hAnsi="Times New Roman"/>
          <w:sz w:val="24"/>
          <w:szCs w:val="24"/>
          <w:lang w:val="es-US"/>
        </w:rPr>
        <w:t xml:space="preserve"> </w:t>
      </w:r>
      <w:r w:rsidR="00CF7F0D" w:rsidRPr="005E1068">
        <w:rPr>
          <w:rStyle w:val="Refdenotaalfinal"/>
          <w:rFonts w:ascii="Times New Roman" w:hAnsi="Times New Roman"/>
          <w:sz w:val="24"/>
          <w:szCs w:val="24"/>
          <w:lang w:val="en-US"/>
        </w:rPr>
        <w:endnoteReference w:id="63"/>
      </w:r>
      <w:r w:rsidRPr="005E1068">
        <w:rPr>
          <w:rStyle w:val="apple-style-span"/>
          <w:rFonts w:ascii="Times New Roman" w:hAnsi="Times New Roman"/>
          <w:sz w:val="24"/>
          <w:szCs w:val="24"/>
        </w:rPr>
        <w:t xml:space="preserve"> La asociación entre el </w:t>
      </w:r>
      <w:proofErr w:type="spellStart"/>
      <w:r w:rsidRPr="005E1068">
        <w:rPr>
          <w:rStyle w:val="apple-style-span"/>
          <w:rFonts w:ascii="Times New Roman" w:hAnsi="Times New Roman"/>
          <w:sz w:val="24"/>
          <w:szCs w:val="24"/>
        </w:rPr>
        <w:t>paraquat</w:t>
      </w:r>
      <w:proofErr w:type="spellEnd"/>
      <w:r w:rsidRPr="005E1068">
        <w:rPr>
          <w:rStyle w:val="apple-style-span"/>
          <w:rFonts w:ascii="Times New Roman" w:hAnsi="Times New Roman"/>
          <w:sz w:val="24"/>
          <w:szCs w:val="24"/>
        </w:rPr>
        <w:t>, el pesticida más utilizado en El Salvador y la ERC, también se destacó en nuestro estudio.</w:t>
      </w:r>
    </w:p>
    <w:p w14:paraId="0F646164" w14:textId="3F7A8F35" w:rsidR="0026130A" w:rsidRPr="005E1068" w:rsidRDefault="0026130A" w:rsidP="00772B81">
      <w:pPr>
        <w:shd w:val="clear" w:color="auto" w:fill="FFFFFF"/>
        <w:spacing w:after="0" w:line="360" w:lineRule="auto"/>
        <w:jc w:val="both"/>
        <w:rPr>
          <w:rFonts w:ascii="Times New Roman" w:hAnsi="Times New Roman"/>
          <w:sz w:val="24"/>
          <w:szCs w:val="24"/>
          <w:lang w:val="es-US"/>
        </w:rPr>
      </w:pPr>
    </w:p>
    <w:p w14:paraId="2FC62D03" w14:textId="6262243B" w:rsidR="0026130A" w:rsidRPr="005E1068" w:rsidRDefault="0026130A" w:rsidP="002350D3">
      <w:pPr>
        <w:shd w:val="clear" w:color="auto" w:fill="FFFFFF"/>
        <w:spacing w:after="0" w:line="276" w:lineRule="auto"/>
        <w:jc w:val="both"/>
        <w:rPr>
          <w:rFonts w:ascii="Times New Roman" w:hAnsi="Times New Roman"/>
          <w:sz w:val="24"/>
          <w:szCs w:val="24"/>
        </w:rPr>
      </w:pPr>
      <w:r w:rsidRPr="005E1068">
        <w:rPr>
          <w:rFonts w:ascii="Times New Roman" w:hAnsi="Times New Roman"/>
          <w:sz w:val="24"/>
          <w:szCs w:val="24"/>
        </w:rPr>
        <w:t xml:space="preserve">En El Salvador, en 2013 se inició un proceso para prohibir el </w:t>
      </w:r>
      <w:proofErr w:type="spellStart"/>
      <w:r w:rsidRPr="005E1068">
        <w:rPr>
          <w:rFonts w:ascii="Times New Roman" w:hAnsi="Times New Roman"/>
          <w:sz w:val="24"/>
          <w:szCs w:val="24"/>
        </w:rPr>
        <w:t>paraquat</w:t>
      </w:r>
      <w:proofErr w:type="spellEnd"/>
      <w:r w:rsidRPr="005E1068">
        <w:rPr>
          <w:rFonts w:ascii="Times New Roman" w:hAnsi="Times New Roman"/>
          <w:sz w:val="24"/>
          <w:szCs w:val="24"/>
        </w:rPr>
        <w:t xml:space="preserve"> junto con otros 52 productos químicos. Sin embargo, a pesar de ser el producto más involucrado tanto en intoxicaciones como en m</w:t>
      </w:r>
      <w:r w:rsidR="00CF7F0D" w:rsidRPr="005E1068">
        <w:rPr>
          <w:rFonts w:ascii="Times New Roman" w:hAnsi="Times New Roman"/>
          <w:sz w:val="24"/>
          <w:szCs w:val="24"/>
        </w:rPr>
        <w:t>uertes accidentales en el país,</w:t>
      </w:r>
      <w:r w:rsidRPr="005E1068">
        <w:rPr>
          <w:rStyle w:val="Refdenotaalfinal"/>
          <w:rFonts w:ascii="Times New Roman" w:hAnsi="Times New Roman"/>
          <w:sz w:val="24"/>
        </w:rPr>
        <w:t>3</w:t>
      </w:r>
      <w:r w:rsidRPr="005E1068">
        <w:rPr>
          <w:rFonts w:ascii="Times New Roman" w:hAnsi="Times New Roman"/>
          <w:sz w:val="24"/>
          <w:vertAlign w:val="superscript"/>
        </w:rPr>
        <w:t>7</w:t>
      </w:r>
      <w:r w:rsidRPr="005E1068">
        <w:rPr>
          <w:rFonts w:ascii="Times New Roman" w:hAnsi="Times New Roman"/>
          <w:sz w:val="24"/>
          <w:szCs w:val="24"/>
        </w:rPr>
        <w:t xml:space="preserve"> la iniciativa fue bloqueada por la presión ejercida por la industria e, incluso hoy, todavía no existe una</w:t>
      </w:r>
      <w:r w:rsidR="002350D3" w:rsidRPr="005E1068">
        <w:rPr>
          <w:rFonts w:ascii="Times New Roman" w:hAnsi="Times New Roman"/>
          <w:sz w:val="24"/>
          <w:szCs w:val="24"/>
        </w:rPr>
        <w:t xml:space="preserve"> ley vigente que regule su uso.</w:t>
      </w:r>
    </w:p>
    <w:p w14:paraId="6A14C3D9" w14:textId="77777777" w:rsidR="002350D3" w:rsidRPr="005E1068" w:rsidRDefault="002350D3" w:rsidP="002350D3">
      <w:pPr>
        <w:shd w:val="clear" w:color="auto" w:fill="FFFFFF"/>
        <w:spacing w:after="0" w:line="276" w:lineRule="auto"/>
        <w:jc w:val="both"/>
        <w:rPr>
          <w:rFonts w:ascii="Times New Roman" w:hAnsi="Times New Roman"/>
          <w:sz w:val="24"/>
          <w:szCs w:val="24"/>
        </w:rPr>
      </w:pPr>
    </w:p>
    <w:p w14:paraId="63141DD9" w14:textId="527ECF73" w:rsidR="0026130A" w:rsidRPr="005E1068" w:rsidRDefault="0026130A" w:rsidP="002350D3">
      <w:pPr>
        <w:shd w:val="clear" w:color="auto" w:fill="FFFFFF"/>
        <w:spacing w:after="0" w:line="240" w:lineRule="auto"/>
        <w:jc w:val="both"/>
        <w:rPr>
          <w:rFonts w:ascii="Times New Roman" w:hAnsi="Times New Roman"/>
          <w:sz w:val="24"/>
          <w:szCs w:val="24"/>
        </w:rPr>
      </w:pPr>
      <w:r w:rsidRPr="005E1068">
        <w:rPr>
          <w:rFonts w:ascii="Times New Roman" w:hAnsi="Times New Roman"/>
          <w:sz w:val="24"/>
          <w:szCs w:val="24"/>
        </w:rPr>
        <w:t>Tales realidades son suficientes para colocar a los agroquímicos en cualquier modelo de causalidad hipotético construido para explicar la epidemia.</w:t>
      </w:r>
    </w:p>
    <w:p w14:paraId="662446B7" w14:textId="77777777" w:rsidR="00276CC5" w:rsidRPr="005E1068" w:rsidRDefault="00276CC5" w:rsidP="00772B81">
      <w:pPr>
        <w:shd w:val="clear" w:color="auto" w:fill="FFFFFF"/>
        <w:spacing w:after="0" w:line="360" w:lineRule="auto"/>
        <w:jc w:val="both"/>
        <w:rPr>
          <w:rFonts w:ascii="Times New Roman" w:hAnsi="Times New Roman"/>
          <w:sz w:val="24"/>
          <w:szCs w:val="24"/>
        </w:rPr>
      </w:pPr>
    </w:p>
    <w:p w14:paraId="1E584AA2" w14:textId="70E9B2CA" w:rsidR="005B78E9" w:rsidRPr="005E1068" w:rsidRDefault="0026130A" w:rsidP="008517FB">
      <w:pPr>
        <w:shd w:val="clear" w:color="auto" w:fill="FFFFFF"/>
        <w:spacing w:after="240" w:line="276" w:lineRule="auto"/>
        <w:jc w:val="both"/>
        <w:rPr>
          <w:rFonts w:ascii="Times New Roman" w:hAnsi="Times New Roman"/>
          <w:color w:val="000000" w:themeColor="text1"/>
          <w:sz w:val="24"/>
          <w:szCs w:val="24"/>
          <w:lang w:val="es-ES_tradnl"/>
        </w:rPr>
      </w:pPr>
      <w:r w:rsidRPr="005E1068">
        <w:rPr>
          <w:rFonts w:ascii="Times New Roman" w:hAnsi="Times New Roman"/>
          <w:color w:val="000000" w:themeColor="text1"/>
          <w:sz w:val="24"/>
          <w:szCs w:val="24"/>
        </w:rPr>
        <w:t xml:space="preserve">Los trabajadores agrícolas en las zonas donde se ha documentado </w:t>
      </w:r>
      <w:r w:rsidRPr="005E1068">
        <w:rPr>
          <w:rFonts w:ascii="Times New Roman" w:hAnsi="Times New Roman"/>
          <w:sz w:val="24"/>
          <w:szCs w:val="24"/>
          <w:lang w:val="es-US"/>
        </w:rPr>
        <w:t xml:space="preserve">la irrupción más acusada </w:t>
      </w:r>
      <w:r w:rsidRPr="005E1068">
        <w:rPr>
          <w:rFonts w:ascii="Times New Roman" w:hAnsi="Times New Roman"/>
          <w:color w:val="000000" w:themeColor="text1"/>
          <w:sz w:val="24"/>
          <w:szCs w:val="24"/>
        </w:rPr>
        <w:t xml:space="preserve">de la epidemia, laboran en condiciones precarias: los horarios de descanso y las oportunidades para una hidratación adecuada son mínimos, hay falta de estabilidad laboral y se les paga a los trabajadores de acuerdo con lo que producen cada día. </w:t>
      </w:r>
      <w:r w:rsidR="002A6192" w:rsidRPr="005E1068">
        <w:rPr>
          <w:rFonts w:ascii="Times New Roman" w:hAnsi="Times New Roman"/>
          <w:sz w:val="24"/>
          <w:szCs w:val="24"/>
          <w:lang w:val="es-US"/>
        </w:rPr>
        <w:t>Tales condiciones rigen, además, en un contexto climático adverso, caracterizado por alta temperatura ambiental y elevados niveles de humedad.</w:t>
      </w:r>
      <w:r w:rsidR="005B78E9" w:rsidRPr="005E1068">
        <w:rPr>
          <w:rStyle w:val="Refdenotaalfinal"/>
          <w:rFonts w:ascii="Times New Roman" w:hAnsi="Times New Roman"/>
          <w:color w:val="000000" w:themeColor="text1"/>
          <w:sz w:val="24"/>
          <w:szCs w:val="24"/>
          <w:lang w:val="en-US"/>
        </w:rPr>
        <w:endnoteReference w:id="64"/>
      </w:r>
      <w:r w:rsidR="005B78E9" w:rsidRPr="005E1068">
        <w:rPr>
          <w:rFonts w:ascii="Times New Roman" w:hAnsi="Times New Roman"/>
          <w:color w:val="000000" w:themeColor="text1"/>
          <w:sz w:val="24"/>
          <w:szCs w:val="24"/>
        </w:rPr>
        <w:t xml:space="preserve"> </w:t>
      </w:r>
      <w:r w:rsidR="005B78E9" w:rsidRPr="005E1068">
        <w:rPr>
          <w:rStyle w:val="Refdenotaalfinal"/>
          <w:rFonts w:ascii="Times New Roman" w:hAnsi="Times New Roman"/>
          <w:color w:val="000000" w:themeColor="text1"/>
          <w:sz w:val="24"/>
          <w:szCs w:val="24"/>
          <w:lang w:val="en-US"/>
        </w:rPr>
        <w:endnoteReference w:id="65"/>
      </w:r>
      <w:r w:rsidR="005B78E9" w:rsidRPr="005E1068">
        <w:rPr>
          <w:rFonts w:ascii="Times New Roman" w:hAnsi="Times New Roman"/>
          <w:color w:val="000000" w:themeColor="text1"/>
          <w:sz w:val="24"/>
          <w:szCs w:val="24"/>
        </w:rPr>
        <w:t xml:space="preserve"> </w:t>
      </w:r>
      <w:r w:rsidR="002A6192" w:rsidRPr="005E1068">
        <w:rPr>
          <w:rFonts w:ascii="Times New Roman" w:hAnsi="Times New Roman"/>
          <w:sz w:val="24"/>
          <w:szCs w:val="24"/>
          <w:lang w:val="es-US"/>
        </w:rPr>
        <w:t xml:space="preserve"> Por añadidura, debido a los efectos de ese esfuerzo, no es inusual el consumo elevado de analgésicos antiinflamatorios no esteroideos (AINES) cuyo impacto </w:t>
      </w:r>
      <w:proofErr w:type="spellStart"/>
      <w:r w:rsidR="002A6192" w:rsidRPr="005E1068">
        <w:rPr>
          <w:rFonts w:ascii="Times New Roman" w:hAnsi="Times New Roman"/>
          <w:sz w:val="24"/>
          <w:szCs w:val="24"/>
          <w:lang w:val="es-US"/>
        </w:rPr>
        <w:t>nefrotóxic</w:t>
      </w:r>
      <w:r w:rsidR="008517FB" w:rsidRPr="005E1068">
        <w:rPr>
          <w:rFonts w:ascii="Times New Roman" w:hAnsi="Times New Roman"/>
          <w:sz w:val="24"/>
          <w:szCs w:val="24"/>
          <w:lang w:val="es-US"/>
        </w:rPr>
        <w:t>o</w:t>
      </w:r>
      <w:proofErr w:type="spellEnd"/>
      <w:r w:rsidR="008517FB" w:rsidRPr="005E1068">
        <w:rPr>
          <w:rFonts w:ascii="Times New Roman" w:hAnsi="Times New Roman"/>
          <w:sz w:val="24"/>
          <w:szCs w:val="24"/>
          <w:lang w:val="es-US"/>
        </w:rPr>
        <w:t xml:space="preserve"> parecería fuera de discusión.</w:t>
      </w:r>
      <w:r w:rsidR="005B78E9" w:rsidRPr="005E1068">
        <w:rPr>
          <w:rStyle w:val="Refdenotaalfinal"/>
          <w:rFonts w:ascii="Times New Roman" w:hAnsi="Times New Roman"/>
          <w:color w:val="000000" w:themeColor="text1"/>
          <w:sz w:val="24"/>
          <w:szCs w:val="24"/>
          <w:lang w:val="en-US"/>
        </w:rPr>
        <w:endnoteReference w:id="66"/>
      </w:r>
      <w:r w:rsidR="005B78E9" w:rsidRPr="005E1068">
        <w:rPr>
          <w:rFonts w:ascii="Times New Roman" w:hAnsi="Times New Roman"/>
          <w:color w:val="000000" w:themeColor="text1"/>
          <w:sz w:val="24"/>
          <w:szCs w:val="24"/>
        </w:rPr>
        <w:t xml:space="preserve"> </w:t>
      </w:r>
      <w:r w:rsidR="005B78E9" w:rsidRPr="005E1068">
        <w:rPr>
          <w:rFonts w:ascii="Times New Roman" w:hAnsi="Times New Roman"/>
          <w:color w:val="000000" w:themeColor="text1"/>
          <w:sz w:val="24"/>
          <w:szCs w:val="24"/>
          <w:vertAlign w:val="superscript"/>
        </w:rPr>
        <w:t>25</w:t>
      </w:r>
      <w:r w:rsidR="005B78E9" w:rsidRPr="005E1068">
        <w:rPr>
          <w:rFonts w:ascii="Times New Roman" w:hAnsi="Times New Roman"/>
          <w:color w:val="000000" w:themeColor="text1"/>
          <w:sz w:val="24"/>
          <w:szCs w:val="24"/>
        </w:rPr>
        <w:t xml:space="preserve"> </w:t>
      </w:r>
      <w:r w:rsidRPr="005E1068">
        <w:rPr>
          <w:rFonts w:ascii="Times New Roman" w:hAnsi="Times New Roman"/>
          <w:color w:val="000000" w:themeColor="text1"/>
          <w:sz w:val="24"/>
          <w:szCs w:val="24"/>
        </w:rPr>
        <w:t xml:space="preserve">Estos factores, lejos de contradecir el papel etiológico de </w:t>
      </w:r>
      <w:r w:rsidR="008517FB" w:rsidRPr="005E1068">
        <w:rPr>
          <w:rFonts w:ascii="Times New Roman" w:hAnsi="Times New Roman"/>
          <w:color w:val="000000" w:themeColor="text1"/>
          <w:sz w:val="24"/>
          <w:szCs w:val="24"/>
        </w:rPr>
        <w:t xml:space="preserve">los </w:t>
      </w:r>
      <w:r w:rsidRPr="005E1068">
        <w:rPr>
          <w:rFonts w:ascii="Times New Roman" w:hAnsi="Times New Roman"/>
          <w:color w:val="000000" w:themeColor="text1"/>
          <w:sz w:val="24"/>
          <w:szCs w:val="24"/>
        </w:rPr>
        <w:t xml:space="preserve">pesticidas, </w:t>
      </w:r>
      <w:r w:rsidRPr="005E1068">
        <w:rPr>
          <w:rFonts w:ascii="Times New Roman" w:hAnsi="Times New Roman"/>
          <w:color w:val="000000" w:themeColor="text1"/>
          <w:sz w:val="24"/>
          <w:szCs w:val="24"/>
        </w:rPr>
        <w:lastRenderedPageBreak/>
        <w:t>potenciarían su efecto nocivo. Tal sinergia tiene un alto grado de probabilidad, especialmente en poblaciones muy vulnerables, dadas las marcadas desventajas socioeconómicas que sufren.</w:t>
      </w:r>
      <w:r w:rsidR="005B78E9" w:rsidRPr="005E1068">
        <w:rPr>
          <w:rStyle w:val="Refdenotaalfinal"/>
          <w:rFonts w:ascii="Times New Roman" w:hAnsi="Times New Roman"/>
          <w:color w:val="000000" w:themeColor="text1"/>
          <w:sz w:val="24"/>
          <w:szCs w:val="24"/>
          <w:lang w:val="en-US"/>
        </w:rPr>
        <w:endnoteReference w:id="67"/>
      </w:r>
    </w:p>
    <w:p w14:paraId="4FDEBF92" w14:textId="3FFEEBCB" w:rsidR="005B78E9" w:rsidRPr="005E1068" w:rsidRDefault="005B78E9" w:rsidP="005B78E9">
      <w:pPr>
        <w:shd w:val="clear" w:color="auto" w:fill="FFFFFF"/>
        <w:spacing w:after="0" w:line="276" w:lineRule="auto"/>
        <w:jc w:val="both"/>
        <w:rPr>
          <w:rFonts w:ascii="Times New Roman" w:hAnsi="Times New Roman"/>
          <w:sz w:val="24"/>
          <w:szCs w:val="24"/>
        </w:rPr>
      </w:pPr>
      <w:r w:rsidRPr="005E1068">
        <w:rPr>
          <w:rFonts w:ascii="Times New Roman" w:hAnsi="Times New Roman"/>
          <w:sz w:val="24"/>
          <w:szCs w:val="24"/>
        </w:rPr>
        <w:t xml:space="preserve">Algunos investigadores consideran que la deshidratación y el estrés por calor </w:t>
      </w:r>
      <w:r w:rsidRPr="005E1068">
        <w:rPr>
          <w:rFonts w:ascii="Times New Roman" w:hAnsi="Times New Roman"/>
          <w:sz w:val="24"/>
          <w:szCs w:val="24"/>
          <w:lang w:val="es-US"/>
        </w:rPr>
        <w:t xml:space="preserve">son los factores que </w:t>
      </w:r>
      <w:r w:rsidR="008517FB" w:rsidRPr="005E1068">
        <w:rPr>
          <w:rFonts w:ascii="Times New Roman" w:hAnsi="Times New Roman"/>
          <w:sz w:val="24"/>
          <w:szCs w:val="24"/>
        </w:rPr>
        <w:t>mejor explican la epidemia.</w:t>
      </w:r>
      <w:r w:rsidR="00E56FE8" w:rsidRPr="005E1068">
        <w:rPr>
          <w:rStyle w:val="Refdenotaalfinal"/>
          <w:rFonts w:ascii="Times New Roman" w:hAnsi="Times New Roman"/>
          <w:color w:val="000000" w:themeColor="text1"/>
          <w:sz w:val="24"/>
          <w:szCs w:val="24"/>
          <w:lang w:val="en-US"/>
        </w:rPr>
        <w:endnoteReference w:id="68"/>
      </w:r>
      <w:r w:rsidR="00E56FE8" w:rsidRPr="005E1068">
        <w:rPr>
          <w:rFonts w:ascii="Times New Roman" w:hAnsi="Times New Roman"/>
          <w:color w:val="000000" w:themeColor="text1"/>
          <w:sz w:val="24"/>
          <w:szCs w:val="24"/>
        </w:rPr>
        <w:t xml:space="preserve"> </w:t>
      </w:r>
      <w:r w:rsidR="00E56FE8" w:rsidRPr="005E1068">
        <w:rPr>
          <w:rStyle w:val="Refdenotaalfinal"/>
          <w:rFonts w:ascii="Times New Roman" w:hAnsi="Times New Roman"/>
          <w:color w:val="000000" w:themeColor="text1"/>
          <w:sz w:val="24"/>
          <w:szCs w:val="24"/>
          <w:lang w:val="en-US"/>
        </w:rPr>
        <w:endnoteReference w:id="69"/>
      </w:r>
      <w:r w:rsidR="00E56FE8" w:rsidRPr="005E1068">
        <w:rPr>
          <w:rFonts w:ascii="Times New Roman" w:hAnsi="Times New Roman"/>
          <w:color w:val="000000" w:themeColor="text1"/>
          <w:spacing w:val="-3"/>
          <w:sz w:val="24"/>
          <w:szCs w:val="24"/>
        </w:rPr>
        <w:t xml:space="preserve"> </w:t>
      </w:r>
      <w:r w:rsidRPr="005E1068">
        <w:rPr>
          <w:rFonts w:ascii="Times New Roman" w:hAnsi="Times New Roman"/>
          <w:sz w:val="24"/>
          <w:szCs w:val="24"/>
        </w:rPr>
        <w:t>En este sentido, se ha argumentado que el calentamiento global en las últimas décadas es "el principal sospechoso" en la mediación de los efectos del estrés por calor sobre la función renal en los trabajadores manuales.</w:t>
      </w:r>
      <w:r w:rsidR="00E56FE8" w:rsidRPr="005E1068">
        <w:rPr>
          <w:rStyle w:val="Refdenotaalfinal"/>
          <w:rFonts w:ascii="Times New Roman" w:hAnsi="Times New Roman"/>
          <w:color w:val="000000" w:themeColor="text1"/>
          <w:sz w:val="24"/>
          <w:szCs w:val="24"/>
          <w:lang w:val="en-US"/>
        </w:rPr>
        <w:endnoteReference w:id="70"/>
      </w:r>
      <w:r w:rsidR="00E56FE8" w:rsidRPr="005E1068">
        <w:rPr>
          <w:rFonts w:ascii="Times New Roman" w:hAnsi="Times New Roman"/>
          <w:color w:val="000000" w:themeColor="text1"/>
          <w:sz w:val="24"/>
          <w:szCs w:val="24"/>
        </w:rPr>
        <w:t xml:space="preserve"> </w:t>
      </w:r>
      <w:r w:rsidR="00E56FE8" w:rsidRPr="005E1068">
        <w:rPr>
          <w:rStyle w:val="Refdenotaalfinal"/>
          <w:rFonts w:ascii="Times New Roman" w:hAnsi="Times New Roman"/>
          <w:color w:val="000000" w:themeColor="text1"/>
          <w:sz w:val="24"/>
          <w:szCs w:val="24"/>
          <w:lang w:val="en-US"/>
        </w:rPr>
        <w:endnoteReference w:id="71"/>
      </w:r>
      <w:r w:rsidR="00E56FE8" w:rsidRPr="005E1068">
        <w:rPr>
          <w:rFonts w:ascii="Times New Roman" w:hAnsi="Times New Roman"/>
          <w:color w:val="000000" w:themeColor="text1"/>
          <w:spacing w:val="-3"/>
          <w:sz w:val="24"/>
          <w:szCs w:val="24"/>
        </w:rPr>
        <w:t xml:space="preserve"> </w:t>
      </w:r>
      <w:r w:rsidRPr="005E1068">
        <w:rPr>
          <w:rFonts w:ascii="Times New Roman" w:hAnsi="Times New Roman"/>
          <w:sz w:val="24"/>
          <w:szCs w:val="24"/>
        </w:rPr>
        <w:t xml:space="preserve">Sin embargo, no hay una prueba clara de esta hipótesis. Cabe destacar que la epidemia también se manifiesta en algunos ambientes en El Salvador, donde los contenedores abandonados contaminan el ambiente y los pozos de agua con elementos tóxicos como </w:t>
      </w:r>
      <w:proofErr w:type="spellStart"/>
      <w:r w:rsidRPr="005E1068">
        <w:rPr>
          <w:rFonts w:ascii="Times New Roman" w:hAnsi="Times New Roman"/>
          <w:sz w:val="24"/>
          <w:szCs w:val="24"/>
        </w:rPr>
        <w:t>toxa</w:t>
      </w:r>
      <w:r w:rsidR="00E56FE8" w:rsidRPr="005E1068">
        <w:rPr>
          <w:rFonts w:ascii="Times New Roman" w:hAnsi="Times New Roman"/>
          <w:sz w:val="24"/>
          <w:szCs w:val="24"/>
        </w:rPr>
        <w:t>ph</w:t>
      </w:r>
      <w:r w:rsidRPr="005E1068">
        <w:rPr>
          <w:rFonts w:ascii="Times New Roman" w:hAnsi="Times New Roman"/>
          <w:sz w:val="24"/>
          <w:szCs w:val="24"/>
        </w:rPr>
        <w:t>eno</w:t>
      </w:r>
      <w:proofErr w:type="spellEnd"/>
      <w:r w:rsidRPr="005E1068">
        <w:rPr>
          <w:rFonts w:ascii="Times New Roman" w:hAnsi="Times New Roman"/>
          <w:sz w:val="24"/>
          <w:szCs w:val="24"/>
        </w:rPr>
        <w:t xml:space="preserve">, arsénico, glifosato y </w:t>
      </w:r>
      <w:proofErr w:type="spellStart"/>
      <w:r w:rsidRPr="005E1068">
        <w:rPr>
          <w:rFonts w:ascii="Times New Roman" w:hAnsi="Times New Roman"/>
          <w:sz w:val="24"/>
          <w:szCs w:val="24"/>
        </w:rPr>
        <w:t>paraquat</w:t>
      </w:r>
      <w:proofErr w:type="spellEnd"/>
      <w:r w:rsidRPr="005E1068">
        <w:rPr>
          <w:rFonts w:ascii="Times New Roman" w:hAnsi="Times New Roman"/>
          <w:sz w:val="24"/>
          <w:szCs w:val="24"/>
        </w:rPr>
        <w:t xml:space="preserve">. </w:t>
      </w:r>
      <w:r w:rsidR="006972F7" w:rsidRPr="005E1068">
        <w:rPr>
          <w:rStyle w:val="Refdenotaalfinal"/>
          <w:rFonts w:ascii="Times New Roman" w:hAnsi="Times New Roman"/>
          <w:sz w:val="24"/>
          <w:szCs w:val="24"/>
        </w:rPr>
        <w:endnoteReference w:id="72"/>
      </w:r>
      <w:r w:rsidR="006972F7" w:rsidRPr="005E1068">
        <w:rPr>
          <w:rFonts w:ascii="Times New Roman" w:hAnsi="Times New Roman"/>
          <w:sz w:val="24"/>
          <w:szCs w:val="24"/>
        </w:rPr>
        <w:t xml:space="preserve"> </w:t>
      </w:r>
      <w:r w:rsidR="006972F7" w:rsidRPr="005E1068">
        <w:rPr>
          <w:rStyle w:val="Refdenotaalfinal"/>
          <w:rFonts w:ascii="Times New Roman" w:hAnsi="Times New Roman"/>
          <w:color w:val="000000" w:themeColor="text1"/>
          <w:sz w:val="24"/>
          <w:szCs w:val="24"/>
          <w:lang w:val="es-US"/>
        </w:rPr>
        <w:t>6</w:t>
      </w:r>
      <w:r w:rsidR="006972F7" w:rsidRPr="005E1068">
        <w:rPr>
          <w:rFonts w:ascii="Times New Roman" w:hAnsi="Times New Roman"/>
          <w:color w:val="000000" w:themeColor="text1"/>
          <w:sz w:val="24"/>
          <w:szCs w:val="24"/>
          <w:vertAlign w:val="superscript"/>
          <w:lang w:val="es-US"/>
        </w:rPr>
        <w:t>6</w:t>
      </w:r>
      <w:r w:rsidR="006972F7" w:rsidRPr="005E1068">
        <w:rPr>
          <w:rFonts w:ascii="Times New Roman" w:hAnsi="Times New Roman"/>
          <w:color w:val="000000" w:themeColor="text1"/>
          <w:sz w:val="24"/>
          <w:szCs w:val="24"/>
          <w:lang w:val="es-US"/>
        </w:rPr>
        <w:t xml:space="preserve"> </w:t>
      </w:r>
      <w:r w:rsidRPr="005E1068">
        <w:rPr>
          <w:rFonts w:ascii="Times New Roman" w:hAnsi="Times New Roman"/>
          <w:sz w:val="24"/>
          <w:szCs w:val="24"/>
        </w:rPr>
        <w:t xml:space="preserve">Por lo tanto, numerosos investigadores creen que un papel predominante de los pesticidas tiene igual o mayor mérito como una posible explicación para </w:t>
      </w:r>
      <w:r w:rsidR="008517FB" w:rsidRPr="005E1068">
        <w:rPr>
          <w:rFonts w:ascii="Times New Roman" w:hAnsi="Times New Roman"/>
          <w:sz w:val="24"/>
          <w:szCs w:val="24"/>
        </w:rPr>
        <w:t xml:space="preserve">la </w:t>
      </w:r>
      <w:r w:rsidRPr="005E1068">
        <w:rPr>
          <w:rFonts w:ascii="Times New Roman" w:hAnsi="Times New Roman"/>
          <w:sz w:val="24"/>
          <w:szCs w:val="24"/>
        </w:rPr>
        <w:t>ERCnT; y algunos critican fuertemente la conjetura de que el estrés por calor y la deshidratación son los principales factores de riesgo.</w:t>
      </w:r>
      <w:r w:rsidR="006972F7" w:rsidRPr="005E1068">
        <w:rPr>
          <w:rFonts w:ascii="Times New Roman" w:hAnsi="Times New Roman"/>
          <w:sz w:val="24"/>
          <w:szCs w:val="24"/>
        </w:rPr>
        <w:t xml:space="preserve"> </w:t>
      </w:r>
      <w:r w:rsidR="006972F7" w:rsidRPr="005E1068">
        <w:rPr>
          <w:rStyle w:val="Refdenotaalfinal"/>
          <w:rFonts w:ascii="Times New Roman" w:hAnsi="Times New Roman"/>
          <w:sz w:val="24"/>
          <w:szCs w:val="24"/>
        </w:rPr>
        <w:endnoteReference w:id="73"/>
      </w:r>
    </w:p>
    <w:p w14:paraId="758FE0B0" w14:textId="77C50B64" w:rsidR="00276CC5" w:rsidRPr="005E1068" w:rsidRDefault="00276CC5" w:rsidP="00772B81">
      <w:pPr>
        <w:shd w:val="clear" w:color="auto" w:fill="FFFFFF"/>
        <w:spacing w:after="0" w:line="360" w:lineRule="auto"/>
        <w:jc w:val="both"/>
        <w:rPr>
          <w:rFonts w:ascii="Times New Roman" w:hAnsi="Times New Roman"/>
          <w:color w:val="000000" w:themeColor="text1"/>
          <w:sz w:val="24"/>
          <w:szCs w:val="24"/>
          <w:lang w:val="es-US"/>
        </w:rPr>
      </w:pPr>
    </w:p>
    <w:p w14:paraId="5E4EE356" w14:textId="07B8A29D" w:rsidR="008517FB" w:rsidRPr="005E1068" w:rsidRDefault="008517FB" w:rsidP="008517FB">
      <w:pPr>
        <w:spacing w:after="0" w:line="360" w:lineRule="auto"/>
        <w:jc w:val="both"/>
        <w:rPr>
          <w:rFonts w:ascii="Times New Roman" w:hAnsi="Times New Roman"/>
          <w:b/>
          <w:sz w:val="24"/>
          <w:szCs w:val="24"/>
          <w:lang w:val="es-US"/>
        </w:rPr>
      </w:pPr>
      <w:r w:rsidRPr="005E1068">
        <w:rPr>
          <w:rFonts w:ascii="Times New Roman" w:hAnsi="Times New Roman"/>
          <w:b/>
          <w:sz w:val="24"/>
          <w:szCs w:val="24"/>
          <w:lang w:val="es-US"/>
        </w:rPr>
        <w:t>Limitaciones del estudio</w:t>
      </w:r>
    </w:p>
    <w:p w14:paraId="0AA9B2B6" w14:textId="184253AD" w:rsidR="00E56FE8" w:rsidRPr="005E1068" w:rsidRDefault="00E56FE8" w:rsidP="00E56FE8">
      <w:pPr>
        <w:shd w:val="clear" w:color="auto" w:fill="FFFFFF"/>
        <w:spacing w:after="0" w:line="276" w:lineRule="auto"/>
        <w:jc w:val="both"/>
        <w:rPr>
          <w:rFonts w:ascii="Times New Roman" w:hAnsi="Times New Roman"/>
          <w:sz w:val="24"/>
          <w:szCs w:val="24"/>
          <w:lang w:val="es-US"/>
        </w:rPr>
      </w:pPr>
      <w:r w:rsidRPr="005E1068">
        <w:rPr>
          <w:rFonts w:ascii="Times New Roman" w:hAnsi="Times New Roman"/>
          <w:sz w:val="24"/>
          <w:szCs w:val="24"/>
          <w:lang w:val="es-US"/>
        </w:rPr>
        <w:t xml:space="preserve">La principal limitación es que los datos relativos a las exposiciones fueron </w:t>
      </w:r>
      <w:r w:rsidR="004A1737" w:rsidRPr="005E1068">
        <w:rPr>
          <w:rFonts w:ascii="Times New Roman" w:hAnsi="Times New Roman"/>
          <w:sz w:val="24"/>
          <w:szCs w:val="24"/>
          <w:lang w:val="es-US"/>
        </w:rPr>
        <w:t>obtenidos a través de testimonios personales</w:t>
      </w:r>
      <w:r w:rsidRPr="005E1068">
        <w:rPr>
          <w:rFonts w:ascii="Times New Roman" w:hAnsi="Times New Roman"/>
          <w:sz w:val="24"/>
          <w:szCs w:val="24"/>
          <w:lang w:val="es-US"/>
        </w:rPr>
        <w:t xml:space="preserve">, lo que puede implicar un </w:t>
      </w:r>
      <w:proofErr w:type="spellStart"/>
      <w:r w:rsidRPr="005E1068">
        <w:rPr>
          <w:rFonts w:ascii="Times New Roman" w:hAnsi="Times New Roman"/>
          <w:sz w:val="24"/>
          <w:szCs w:val="24"/>
          <w:lang w:val="es-US"/>
        </w:rPr>
        <w:t>subregistro</w:t>
      </w:r>
      <w:proofErr w:type="spellEnd"/>
      <w:r w:rsidRPr="005E1068">
        <w:rPr>
          <w:rFonts w:ascii="Times New Roman" w:hAnsi="Times New Roman"/>
          <w:sz w:val="24"/>
          <w:szCs w:val="24"/>
          <w:lang w:val="es-US"/>
        </w:rPr>
        <w:t xml:space="preserve"> y, sobre todo, un posible sesgo de memoria. Además, hubo un considerable grado de "no respuesta": esto era de esperar y puede explicarse en parte por el hecho de que la investigación implicó encuestar y medir a 6.054 personas en las condiciones extremadamente hostiles que prevalecen en El Salvador. Sin embargo, esta “no-respuesta”, en virtud de la cual el estudio terminó completándose solo para 4817 sujetos, puede considerarse no asociada al valor real de las variables, puesto que se debió en buena medida a que el acceso al enclave de las viviendas fue bloqueado por pandillas u otros grupos informales que allí operaban y </w:t>
      </w:r>
      <w:r w:rsidR="004A1737" w:rsidRPr="005E1068">
        <w:rPr>
          <w:rFonts w:ascii="Times New Roman" w:hAnsi="Times New Roman"/>
          <w:sz w:val="24"/>
          <w:szCs w:val="24"/>
          <w:lang w:val="es-US"/>
        </w:rPr>
        <w:t xml:space="preserve">a </w:t>
      </w:r>
      <w:r w:rsidRPr="005E1068">
        <w:rPr>
          <w:rFonts w:ascii="Times New Roman" w:hAnsi="Times New Roman"/>
          <w:sz w:val="24"/>
          <w:szCs w:val="24"/>
          <w:lang w:val="es-US"/>
        </w:rPr>
        <w:t>que se desecharon cientos de casos porque el consentimiento informado no estaba inequívocamente registrado en los cuestionarios.</w:t>
      </w:r>
    </w:p>
    <w:p w14:paraId="07FECA77" w14:textId="6896E3A4" w:rsidR="004A1737" w:rsidRPr="005E1068" w:rsidRDefault="004A1737" w:rsidP="00772B81">
      <w:pPr>
        <w:shd w:val="clear" w:color="auto" w:fill="FFFFFF"/>
        <w:spacing w:after="0" w:line="360" w:lineRule="auto"/>
        <w:jc w:val="both"/>
        <w:rPr>
          <w:rFonts w:ascii="Times New Roman" w:hAnsi="Times New Roman"/>
          <w:sz w:val="24"/>
          <w:szCs w:val="24"/>
          <w:lang w:val="es-US"/>
        </w:rPr>
      </w:pPr>
    </w:p>
    <w:p w14:paraId="4D650ECC" w14:textId="77777777" w:rsidR="004A1737" w:rsidRPr="005E1068" w:rsidRDefault="004A1737" w:rsidP="004A1737">
      <w:pPr>
        <w:shd w:val="clear" w:color="auto" w:fill="FFFFFF"/>
        <w:spacing w:after="0" w:line="360" w:lineRule="auto"/>
        <w:jc w:val="both"/>
        <w:rPr>
          <w:rFonts w:ascii="Times New Roman" w:hAnsi="Times New Roman"/>
          <w:b/>
          <w:sz w:val="24"/>
          <w:szCs w:val="24"/>
          <w:lang w:val="es-US"/>
        </w:rPr>
      </w:pPr>
      <w:r w:rsidRPr="005E1068">
        <w:rPr>
          <w:rFonts w:ascii="Times New Roman" w:hAnsi="Times New Roman"/>
          <w:b/>
          <w:sz w:val="24"/>
          <w:szCs w:val="24"/>
          <w:lang w:val="es-US"/>
        </w:rPr>
        <w:t>Conclusiones</w:t>
      </w:r>
    </w:p>
    <w:p w14:paraId="2B237D59" w14:textId="532BD795" w:rsidR="00F85ECC" w:rsidRPr="005E1068" w:rsidRDefault="00F85ECC" w:rsidP="00F85ECC">
      <w:pPr>
        <w:shd w:val="clear" w:color="auto" w:fill="FFFFFF"/>
        <w:spacing w:after="0" w:line="276" w:lineRule="auto"/>
        <w:jc w:val="both"/>
        <w:rPr>
          <w:rFonts w:ascii="Times New Roman" w:hAnsi="Times New Roman"/>
          <w:sz w:val="24"/>
          <w:szCs w:val="24"/>
          <w:lang w:val="es-US"/>
        </w:rPr>
      </w:pPr>
      <w:r w:rsidRPr="005E1068">
        <w:rPr>
          <w:rFonts w:ascii="Times New Roman" w:hAnsi="Times New Roman"/>
          <w:sz w:val="24"/>
          <w:szCs w:val="24"/>
          <w:lang w:val="es-US"/>
        </w:rPr>
        <w:t>La plausibilidad de la hipótesis que atribuye peso causal a los agroquímicos en la epidemia alcanza un respaldo empírico consistente, sistemático y notorio, complementado por evidencias previas y</w:t>
      </w:r>
      <w:r w:rsidR="004A1737" w:rsidRPr="005E1068">
        <w:rPr>
          <w:rFonts w:ascii="Times New Roman" w:hAnsi="Times New Roman"/>
          <w:sz w:val="24"/>
          <w:szCs w:val="24"/>
          <w:lang w:val="es-US"/>
        </w:rPr>
        <w:t xml:space="preserve"> por</w:t>
      </w:r>
      <w:r w:rsidRPr="005E1068">
        <w:rPr>
          <w:rFonts w:ascii="Times New Roman" w:hAnsi="Times New Roman"/>
          <w:sz w:val="24"/>
          <w:szCs w:val="24"/>
          <w:lang w:val="es-US"/>
        </w:rPr>
        <w:t xml:space="preserve"> los numerosos indicios teóric</w:t>
      </w:r>
      <w:r w:rsidR="004A1737" w:rsidRPr="005E1068">
        <w:rPr>
          <w:rFonts w:ascii="Times New Roman" w:hAnsi="Times New Roman"/>
          <w:sz w:val="24"/>
          <w:szCs w:val="24"/>
          <w:lang w:val="es-US"/>
        </w:rPr>
        <w:t>o</w:t>
      </w:r>
      <w:r w:rsidRPr="005E1068">
        <w:rPr>
          <w:rFonts w:ascii="Times New Roman" w:hAnsi="Times New Roman"/>
          <w:sz w:val="24"/>
          <w:szCs w:val="24"/>
          <w:lang w:val="es-US"/>
        </w:rPr>
        <w:t>s que la respaldaron. El impacto de los agroquímicos parece converger decisivamente en la red causal, probablemente potenciado por el estrés calórico y la deshidratación, en condiciones sociales y laborales marcadamente hostiles.</w:t>
      </w:r>
    </w:p>
    <w:p w14:paraId="0606C5DF" w14:textId="77777777" w:rsidR="00F85ECC" w:rsidRPr="005E1068" w:rsidRDefault="00F85ECC" w:rsidP="00772B81">
      <w:pPr>
        <w:shd w:val="clear" w:color="auto" w:fill="FFFFFF"/>
        <w:spacing w:after="0" w:line="360" w:lineRule="auto"/>
        <w:jc w:val="both"/>
        <w:rPr>
          <w:rFonts w:ascii="Times New Roman" w:hAnsi="Times New Roman"/>
          <w:sz w:val="24"/>
          <w:szCs w:val="24"/>
          <w:lang w:val="es-US"/>
        </w:rPr>
      </w:pPr>
    </w:p>
    <w:p w14:paraId="13529143" w14:textId="55D89CF1" w:rsidR="003D2DAE" w:rsidRPr="005E1068" w:rsidRDefault="003D2DAE" w:rsidP="003D2DAE">
      <w:pPr>
        <w:pStyle w:val="Ttulo1"/>
        <w:spacing w:line="360" w:lineRule="auto"/>
        <w:rPr>
          <w:rFonts w:ascii="Times New Roman" w:hAnsi="Times New Roman"/>
          <w:lang w:val="en-US"/>
        </w:rPr>
      </w:pPr>
      <w:proofErr w:type="spellStart"/>
      <w:r w:rsidRPr="005E1068">
        <w:rPr>
          <w:rFonts w:ascii="Times New Roman" w:hAnsi="Times New Roman"/>
          <w:b/>
          <w:color w:val="auto"/>
          <w:sz w:val="24"/>
          <w:szCs w:val="24"/>
          <w:lang w:val="en-US"/>
        </w:rPr>
        <w:t>Referencias</w:t>
      </w:r>
      <w:bookmarkEnd w:id="1"/>
      <w:proofErr w:type="spellEnd"/>
    </w:p>
    <w:sectPr w:rsidR="003D2DAE" w:rsidRPr="005E1068" w:rsidSect="007332C8">
      <w:footnotePr>
        <w:numFmt w:val="lowerRoman"/>
      </w:footnotePr>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3C976" w14:textId="77777777" w:rsidR="001256CB" w:rsidRDefault="001256CB" w:rsidP="000B595F">
      <w:pPr>
        <w:spacing w:after="0" w:line="240" w:lineRule="auto"/>
      </w:pPr>
      <w:r>
        <w:separator/>
      </w:r>
    </w:p>
  </w:endnote>
  <w:endnote w:type="continuationSeparator" w:id="0">
    <w:p w14:paraId="3E2F5C42" w14:textId="77777777" w:rsidR="001256CB" w:rsidRDefault="001256CB" w:rsidP="000B595F">
      <w:pPr>
        <w:spacing w:after="0" w:line="240" w:lineRule="auto"/>
      </w:pPr>
      <w:r>
        <w:continuationSeparator/>
      </w:r>
    </w:p>
  </w:endnote>
  <w:endnote w:id="1">
    <w:p w14:paraId="49292F4C" w14:textId="77777777" w:rsidR="00FD6E8B" w:rsidRPr="00F20574" w:rsidRDefault="00FD6E8B" w:rsidP="0065634F">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607064">
        <w:rPr>
          <w:rFonts w:ascii="Times New Roman" w:hAnsi="Times New Roman"/>
          <w:sz w:val="22"/>
          <w:szCs w:val="22"/>
        </w:rPr>
        <w:t xml:space="preserve"> </w:t>
      </w:r>
      <w:proofErr w:type="spellStart"/>
      <w:r w:rsidRPr="00607064">
        <w:rPr>
          <w:rFonts w:ascii="Times New Roman" w:hAnsi="Times New Roman"/>
          <w:sz w:val="22"/>
          <w:szCs w:val="22"/>
        </w:rPr>
        <w:t>Xie</w:t>
      </w:r>
      <w:proofErr w:type="spellEnd"/>
      <w:r w:rsidRPr="00607064">
        <w:rPr>
          <w:rFonts w:ascii="Times New Roman" w:hAnsi="Times New Roman"/>
          <w:sz w:val="22"/>
          <w:szCs w:val="22"/>
        </w:rPr>
        <w:t xml:space="preserve"> Y, </w:t>
      </w:r>
      <w:proofErr w:type="spellStart"/>
      <w:r w:rsidRPr="00607064">
        <w:rPr>
          <w:rFonts w:ascii="Times New Roman" w:hAnsi="Times New Roman"/>
          <w:sz w:val="22"/>
          <w:szCs w:val="22"/>
        </w:rPr>
        <w:t>Bowe</w:t>
      </w:r>
      <w:proofErr w:type="spellEnd"/>
      <w:r w:rsidRPr="00607064">
        <w:rPr>
          <w:rFonts w:ascii="Times New Roman" w:hAnsi="Times New Roman"/>
          <w:sz w:val="22"/>
          <w:szCs w:val="22"/>
        </w:rPr>
        <w:t xml:space="preserve"> B, </w:t>
      </w:r>
      <w:proofErr w:type="spellStart"/>
      <w:r w:rsidRPr="00607064">
        <w:rPr>
          <w:rFonts w:ascii="Times New Roman" w:hAnsi="Times New Roman"/>
          <w:sz w:val="22"/>
          <w:szCs w:val="22"/>
        </w:rPr>
        <w:t>Mokdad</w:t>
      </w:r>
      <w:proofErr w:type="spellEnd"/>
      <w:r w:rsidRPr="00607064">
        <w:rPr>
          <w:rFonts w:ascii="Times New Roman" w:hAnsi="Times New Roman"/>
          <w:sz w:val="22"/>
          <w:szCs w:val="22"/>
        </w:rPr>
        <w:t xml:space="preserve"> AH, </w:t>
      </w:r>
      <w:proofErr w:type="spellStart"/>
      <w:r w:rsidRPr="00607064">
        <w:rPr>
          <w:rFonts w:ascii="Times New Roman" w:hAnsi="Times New Roman"/>
          <w:sz w:val="22"/>
          <w:szCs w:val="22"/>
        </w:rPr>
        <w:t>Xian</w:t>
      </w:r>
      <w:proofErr w:type="spellEnd"/>
      <w:r w:rsidRPr="00607064">
        <w:rPr>
          <w:rFonts w:ascii="Times New Roman" w:hAnsi="Times New Roman"/>
          <w:sz w:val="22"/>
          <w:szCs w:val="22"/>
        </w:rPr>
        <w:t xml:space="preserve"> H, </w:t>
      </w:r>
      <w:proofErr w:type="spellStart"/>
      <w:r w:rsidRPr="00607064">
        <w:rPr>
          <w:rFonts w:ascii="Times New Roman" w:hAnsi="Times New Roman"/>
          <w:sz w:val="22"/>
          <w:szCs w:val="22"/>
        </w:rPr>
        <w:t>Yan</w:t>
      </w:r>
      <w:proofErr w:type="spellEnd"/>
      <w:r w:rsidRPr="00607064">
        <w:rPr>
          <w:rFonts w:ascii="Times New Roman" w:hAnsi="Times New Roman"/>
          <w:sz w:val="22"/>
          <w:szCs w:val="22"/>
        </w:rPr>
        <w:t xml:space="preserve"> Y, Li T, et al. </w:t>
      </w:r>
      <w:r w:rsidRPr="00F20574">
        <w:rPr>
          <w:rFonts w:ascii="Times New Roman" w:hAnsi="Times New Roman"/>
          <w:sz w:val="22"/>
          <w:szCs w:val="22"/>
          <w:lang w:val="en-US"/>
        </w:rPr>
        <w:t>Analysis of the Global Burden of Disease study highlights the global, regional, and national trends of chronic kidney disease epidemiology from 1990 to 2016. Kidney Int. 2018 Sep;94(3):567−81.</w:t>
      </w:r>
    </w:p>
    <w:p w14:paraId="4C084249" w14:textId="77777777" w:rsidR="00FD6E8B" w:rsidRPr="00F20574" w:rsidRDefault="00FD6E8B" w:rsidP="0065634F">
      <w:pPr>
        <w:pStyle w:val="Textonotaalfinal"/>
        <w:jc w:val="left"/>
        <w:rPr>
          <w:rFonts w:ascii="Times New Roman" w:hAnsi="Times New Roman"/>
          <w:sz w:val="22"/>
          <w:szCs w:val="22"/>
          <w:lang w:val="en-US"/>
        </w:rPr>
      </w:pPr>
    </w:p>
  </w:endnote>
  <w:endnote w:id="2">
    <w:p w14:paraId="725C78AD" w14:textId="77777777" w:rsidR="00FD6E8B" w:rsidRPr="00F20574" w:rsidRDefault="00FD6E8B" w:rsidP="0065634F">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Cueto</w:t>
      </w:r>
      <w:proofErr w:type="spellEnd"/>
      <w:r w:rsidRPr="00F20574">
        <w:rPr>
          <w:rFonts w:ascii="Times New Roman" w:hAnsi="Times New Roman"/>
          <w:sz w:val="22"/>
          <w:szCs w:val="22"/>
          <w:lang w:val="en-US"/>
        </w:rPr>
        <w:t xml:space="preserve">-Manzano A, </w:t>
      </w:r>
      <w:proofErr w:type="spellStart"/>
      <w:r w:rsidRPr="00F20574">
        <w:rPr>
          <w:rFonts w:ascii="Times New Roman" w:hAnsi="Times New Roman"/>
          <w:sz w:val="22"/>
          <w:szCs w:val="22"/>
          <w:lang w:val="en-US"/>
        </w:rPr>
        <w:t>Douthat</w:t>
      </w:r>
      <w:proofErr w:type="spellEnd"/>
      <w:r w:rsidRPr="00F20574">
        <w:rPr>
          <w:rFonts w:ascii="Times New Roman" w:hAnsi="Times New Roman"/>
          <w:sz w:val="22"/>
          <w:szCs w:val="22"/>
          <w:lang w:val="en-US"/>
        </w:rPr>
        <w:t xml:space="preserve"> W. Facing the challenge of kidney disease in Latin America. </w:t>
      </w:r>
      <w:proofErr w:type="spellStart"/>
      <w:r w:rsidRPr="00F20574">
        <w:rPr>
          <w:rFonts w:ascii="Times New Roman" w:hAnsi="Times New Roman"/>
          <w:sz w:val="22"/>
          <w:szCs w:val="22"/>
        </w:rPr>
        <w:t>The</w:t>
      </w:r>
      <w:proofErr w:type="spellEnd"/>
      <w:r w:rsidRPr="00F20574">
        <w:rPr>
          <w:rFonts w:ascii="Times New Roman" w:hAnsi="Times New Roman"/>
          <w:sz w:val="22"/>
          <w:szCs w:val="22"/>
        </w:rPr>
        <w:t xml:space="preserve"> </w:t>
      </w:r>
      <w:proofErr w:type="spellStart"/>
      <w:r w:rsidRPr="00F20574">
        <w:rPr>
          <w:rFonts w:ascii="Times New Roman" w:hAnsi="Times New Roman"/>
          <w:sz w:val="22"/>
          <w:szCs w:val="22"/>
        </w:rPr>
        <w:t>Lancet</w:t>
      </w:r>
      <w:proofErr w:type="spellEnd"/>
      <w:r w:rsidRPr="00F20574">
        <w:rPr>
          <w:rFonts w:ascii="Times New Roman" w:hAnsi="Times New Roman"/>
          <w:sz w:val="22"/>
          <w:szCs w:val="22"/>
        </w:rPr>
        <w:t>; c2019. [Internet]. [citado 17 de agosto de 2019]; [</w:t>
      </w:r>
      <w:proofErr w:type="spellStart"/>
      <w:r w:rsidRPr="00F20574">
        <w:rPr>
          <w:rFonts w:ascii="Times New Roman" w:hAnsi="Times New Roman"/>
          <w:sz w:val="22"/>
          <w:szCs w:val="22"/>
        </w:rPr>
        <w:t>aprox</w:t>
      </w:r>
      <w:proofErr w:type="spellEnd"/>
      <w:r w:rsidRPr="00F20574">
        <w:rPr>
          <w:rFonts w:ascii="Times New Roman" w:hAnsi="Times New Roman"/>
          <w:sz w:val="22"/>
          <w:szCs w:val="22"/>
        </w:rPr>
        <w:t xml:space="preserve"> 3 pantallas]. Disponible en: </w:t>
      </w:r>
      <w:hyperlink r:id="rId1" w:history="1">
        <w:r w:rsidRPr="00F20574">
          <w:rPr>
            <w:rStyle w:val="Hipervnculo"/>
            <w:rFonts w:ascii="Times New Roman" w:hAnsi="Times New Roman"/>
            <w:sz w:val="22"/>
            <w:szCs w:val="22"/>
          </w:rPr>
          <w:t>https://www.thelancet.com/campaigns/kidney/updates/kidney-disease-in-latin-america</w:t>
        </w:r>
      </w:hyperlink>
      <w:r w:rsidRPr="00F20574">
        <w:rPr>
          <w:rFonts w:ascii="Times New Roman" w:hAnsi="Times New Roman"/>
          <w:sz w:val="22"/>
          <w:szCs w:val="22"/>
        </w:rPr>
        <w:t xml:space="preserve"> </w:t>
      </w:r>
    </w:p>
    <w:p w14:paraId="608E6EF2" w14:textId="77777777" w:rsidR="00FD6E8B" w:rsidRPr="00F20574" w:rsidRDefault="00FD6E8B" w:rsidP="0065634F">
      <w:pPr>
        <w:pStyle w:val="Textonotaalfinal"/>
        <w:jc w:val="left"/>
        <w:rPr>
          <w:rFonts w:ascii="Times New Roman" w:hAnsi="Times New Roman"/>
          <w:sz w:val="22"/>
          <w:szCs w:val="22"/>
        </w:rPr>
      </w:pPr>
    </w:p>
  </w:endnote>
  <w:endnote w:id="3">
    <w:p w14:paraId="074B4963" w14:textId="77777777" w:rsidR="00FD6E8B" w:rsidRPr="00F20574" w:rsidRDefault="00FD6E8B" w:rsidP="0065634F">
      <w:pPr>
        <w:autoSpaceDE w:val="0"/>
        <w:autoSpaceDN w:val="0"/>
        <w:adjustRightInd w:val="0"/>
        <w:rPr>
          <w:rFonts w:ascii="Times New Roman" w:hAnsi="Times New Roman"/>
          <w:lang w:val="es-ES_tradnl"/>
        </w:rPr>
      </w:pPr>
      <w:r w:rsidRPr="00F20574">
        <w:rPr>
          <w:rStyle w:val="Refdenotaalfinal"/>
          <w:rFonts w:ascii="Times New Roman" w:hAnsi="Times New Roman"/>
        </w:rPr>
        <w:endnoteRef/>
      </w:r>
      <w:r w:rsidRPr="00F20574">
        <w:rPr>
          <w:rFonts w:ascii="Times New Roman" w:hAnsi="Times New Roman"/>
        </w:rPr>
        <w:t xml:space="preserve"> </w:t>
      </w:r>
      <w:r>
        <w:rPr>
          <w:rFonts w:ascii="Times New Roman" w:hAnsi="Times New Roman"/>
          <w:lang w:val="es-ES_tradnl"/>
        </w:rPr>
        <w:t>INS.</w:t>
      </w:r>
      <w:r w:rsidRPr="00F20574">
        <w:rPr>
          <w:rFonts w:ascii="Times New Roman" w:hAnsi="Times New Roman"/>
          <w:lang w:val="es-ES_tradnl"/>
        </w:rPr>
        <w:t xml:space="preserve"> El Salvador. Carga de mortalidad de enfermedades no transmisibles en población igual o mayor de 20 años de El Salvador 2011-2015.</w:t>
      </w:r>
      <w:r>
        <w:rPr>
          <w:rFonts w:ascii="Times New Roman" w:hAnsi="Times New Roman"/>
          <w:lang w:val="es-ES_tradnl"/>
        </w:rPr>
        <w:t xml:space="preserve"> </w:t>
      </w:r>
      <w:r w:rsidRPr="00F20574">
        <w:rPr>
          <w:rFonts w:ascii="Times New Roman" w:hAnsi="Times New Roman"/>
          <w:lang w:val="es-ES_tradnl"/>
        </w:rPr>
        <w:t xml:space="preserve">2017. </w:t>
      </w:r>
      <w:r w:rsidRPr="00724467">
        <w:rPr>
          <w:rFonts w:ascii="Times New Roman" w:hAnsi="Times New Roman"/>
          <w:lang w:val="es-ES_tradnl"/>
        </w:rPr>
        <w:t xml:space="preserve">[Internet]. [citado 17 de agosto de 2019]. </w:t>
      </w:r>
      <w:r w:rsidRPr="00F20574">
        <w:rPr>
          <w:rFonts w:ascii="Times New Roman" w:hAnsi="Times New Roman"/>
        </w:rPr>
        <w:t xml:space="preserve">Disponible en: </w:t>
      </w:r>
      <w:hyperlink r:id="rId2" w:history="1">
        <w:r w:rsidRPr="00F20574">
          <w:rPr>
            <w:rStyle w:val="Hipervnculo"/>
            <w:rFonts w:ascii="Times New Roman" w:hAnsi="Times New Roman"/>
            <w:lang w:eastAsia="es-ES_tradnl"/>
          </w:rPr>
          <w:t>http://ins.salud.gob.sv/wp-content/uploads/2018/07/Carga-de-mortalidad-de-enfermedades-no-transmisibles.pdf</w:t>
        </w:r>
      </w:hyperlink>
      <w:r w:rsidRPr="00F20574">
        <w:rPr>
          <w:rFonts w:ascii="Times New Roman" w:hAnsi="Times New Roman"/>
          <w:lang w:val="es-ES_tradnl"/>
        </w:rPr>
        <w:t xml:space="preserve"> </w:t>
      </w:r>
    </w:p>
    <w:p w14:paraId="6E4B1C3A" w14:textId="77777777" w:rsidR="00FD6E8B" w:rsidRPr="00F20574" w:rsidRDefault="00FD6E8B" w:rsidP="0065634F">
      <w:pPr>
        <w:pStyle w:val="Textonotaalfinal"/>
        <w:jc w:val="left"/>
        <w:rPr>
          <w:rFonts w:ascii="Times New Roman" w:hAnsi="Times New Roman"/>
          <w:sz w:val="22"/>
          <w:szCs w:val="22"/>
        </w:rPr>
      </w:pPr>
    </w:p>
  </w:endnote>
  <w:endnote w:id="4">
    <w:p w14:paraId="06BE4DE3" w14:textId="77777777" w:rsidR="00FD6E8B" w:rsidRPr="00F20574" w:rsidRDefault="00FD6E8B" w:rsidP="0065634F">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rPr>
        <w:t xml:space="preserve"> </w:t>
      </w:r>
      <w:proofErr w:type="spellStart"/>
      <w:r w:rsidRPr="00F20574">
        <w:rPr>
          <w:rFonts w:ascii="Times New Roman" w:hAnsi="Times New Roman"/>
          <w:sz w:val="22"/>
          <w:szCs w:val="22"/>
        </w:rPr>
        <w:t>Ordúñez</w:t>
      </w:r>
      <w:proofErr w:type="spellEnd"/>
      <w:r w:rsidRPr="00F20574">
        <w:rPr>
          <w:rFonts w:ascii="Times New Roman" w:hAnsi="Times New Roman"/>
          <w:sz w:val="22"/>
          <w:szCs w:val="22"/>
        </w:rPr>
        <w:t xml:space="preserve"> P, Nieto FJ, Martínez R, </w:t>
      </w:r>
      <w:proofErr w:type="spellStart"/>
      <w:r w:rsidRPr="00F20574">
        <w:rPr>
          <w:rFonts w:ascii="Times New Roman" w:hAnsi="Times New Roman"/>
          <w:sz w:val="22"/>
          <w:szCs w:val="22"/>
        </w:rPr>
        <w:t>Soliz</w:t>
      </w:r>
      <w:proofErr w:type="spellEnd"/>
      <w:r w:rsidRPr="00F20574">
        <w:rPr>
          <w:rFonts w:ascii="Times New Roman" w:hAnsi="Times New Roman"/>
          <w:sz w:val="22"/>
          <w:szCs w:val="22"/>
        </w:rPr>
        <w:t xml:space="preserve"> P, Giraldo GP, </w:t>
      </w:r>
      <w:proofErr w:type="spellStart"/>
      <w:r w:rsidRPr="00F20574">
        <w:rPr>
          <w:rFonts w:ascii="Times New Roman" w:hAnsi="Times New Roman"/>
          <w:sz w:val="22"/>
          <w:szCs w:val="22"/>
        </w:rPr>
        <w:t>Mott</w:t>
      </w:r>
      <w:proofErr w:type="spellEnd"/>
      <w:r w:rsidRPr="00F20574">
        <w:rPr>
          <w:rFonts w:ascii="Times New Roman" w:hAnsi="Times New Roman"/>
          <w:sz w:val="22"/>
          <w:szCs w:val="22"/>
        </w:rPr>
        <w:t xml:space="preserve"> SA, et al. </w:t>
      </w:r>
      <w:r w:rsidRPr="00F20574">
        <w:rPr>
          <w:rFonts w:ascii="Times New Roman" w:hAnsi="Times New Roman"/>
          <w:sz w:val="22"/>
          <w:szCs w:val="22"/>
          <w:lang w:val="en-US"/>
        </w:rPr>
        <w:t>Chronic kidney disease mortality trends in selected Central America countries, 1997-2013: clues to an epidemic of chronic interstitial nephritis of agricultural communities. Journal of Epidemiology and Community Health. 2018; 72(4):280–286.</w:t>
      </w:r>
    </w:p>
    <w:p w14:paraId="4DBEC240" w14:textId="77777777" w:rsidR="00FD6E8B" w:rsidRPr="00F20574" w:rsidRDefault="00FD6E8B" w:rsidP="0065634F">
      <w:pPr>
        <w:pStyle w:val="Textonotaalfinal"/>
        <w:jc w:val="left"/>
        <w:rPr>
          <w:rFonts w:ascii="Times New Roman" w:hAnsi="Times New Roman"/>
          <w:sz w:val="22"/>
          <w:szCs w:val="22"/>
          <w:lang w:val="en-US"/>
        </w:rPr>
      </w:pPr>
    </w:p>
  </w:endnote>
  <w:endnote w:id="5">
    <w:p w14:paraId="2A2EE15A" w14:textId="77777777" w:rsidR="00FD6E8B" w:rsidRPr="00F20574" w:rsidRDefault="00FD6E8B" w:rsidP="0065634F">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Chapman E, </w:t>
      </w:r>
      <w:proofErr w:type="spellStart"/>
      <w:r w:rsidRPr="00F20574">
        <w:rPr>
          <w:rFonts w:ascii="Times New Roman" w:hAnsi="Times New Roman"/>
          <w:sz w:val="22"/>
          <w:szCs w:val="22"/>
          <w:lang w:val="en-US"/>
        </w:rPr>
        <w:t>Haby</w:t>
      </w:r>
      <w:proofErr w:type="spellEnd"/>
      <w:r w:rsidRPr="00F20574">
        <w:rPr>
          <w:rFonts w:ascii="Times New Roman" w:hAnsi="Times New Roman"/>
          <w:sz w:val="22"/>
          <w:szCs w:val="22"/>
          <w:lang w:val="en-US"/>
        </w:rPr>
        <w:t xml:space="preserve"> MM, </w:t>
      </w:r>
      <w:proofErr w:type="spellStart"/>
      <w:r w:rsidRPr="00F20574">
        <w:rPr>
          <w:rFonts w:ascii="Times New Roman" w:hAnsi="Times New Roman"/>
          <w:sz w:val="22"/>
          <w:szCs w:val="22"/>
          <w:lang w:val="en-US"/>
        </w:rPr>
        <w:t>Illanes</w:t>
      </w:r>
      <w:proofErr w:type="spellEnd"/>
      <w:r w:rsidRPr="00F20574">
        <w:rPr>
          <w:rFonts w:ascii="Times New Roman" w:hAnsi="Times New Roman"/>
          <w:sz w:val="22"/>
          <w:szCs w:val="22"/>
          <w:lang w:val="en-US"/>
        </w:rPr>
        <w:t xml:space="preserve"> E, Sanchez-</w:t>
      </w:r>
      <w:proofErr w:type="spellStart"/>
      <w:r w:rsidRPr="00F20574">
        <w:rPr>
          <w:rFonts w:ascii="Times New Roman" w:hAnsi="Times New Roman"/>
          <w:sz w:val="22"/>
          <w:szCs w:val="22"/>
          <w:lang w:val="en-US"/>
        </w:rPr>
        <w:t>Viamonte</w:t>
      </w:r>
      <w:proofErr w:type="spellEnd"/>
      <w:r w:rsidRPr="00F20574">
        <w:rPr>
          <w:rFonts w:ascii="Times New Roman" w:hAnsi="Times New Roman"/>
          <w:sz w:val="22"/>
          <w:szCs w:val="22"/>
          <w:lang w:val="en-US"/>
        </w:rPr>
        <w:t xml:space="preserve"> J, Elias V, </w:t>
      </w:r>
      <w:proofErr w:type="spellStart"/>
      <w:r w:rsidRPr="00F20574">
        <w:rPr>
          <w:rFonts w:ascii="Times New Roman" w:hAnsi="Times New Roman"/>
          <w:sz w:val="22"/>
          <w:szCs w:val="22"/>
          <w:lang w:val="en-US"/>
        </w:rPr>
        <w:t>Reveiz</w:t>
      </w:r>
      <w:proofErr w:type="spellEnd"/>
      <w:r w:rsidRPr="00F20574">
        <w:rPr>
          <w:rFonts w:ascii="Times New Roman" w:hAnsi="Times New Roman"/>
          <w:sz w:val="22"/>
          <w:szCs w:val="22"/>
          <w:lang w:val="en-US"/>
        </w:rPr>
        <w:t xml:space="preserve"> L. Risk factors for chronic kidney disease of non-traditional causes: a systematic review. </w:t>
      </w:r>
      <w:proofErr w:type="spellStart"/>
      <w:r w:rsidRPr="00F20574">
        <w:rPr>
          <w:rFonts w:ascii="Times New Roman" w:hAnsi="Times New Roman"/>
          <w:sz w:val="22"/>
          <w:szCs w:val="22"/>
        </w:rPr>
        <w:t>Rev</w:t>
      </w:r>
      <w:proofErr w:type="spellEnd"/>
      <w:r w:rsidRPr="00F20574">
        <w:rPr>
          <w:rFonts w:ascii="Times New Roman" w:hAnsi="Times New Roman"/>
          <w:sz w:val="22"/>
          <w:szCs w:val="22"/>
        </w:rPr>
        <w:t xml:space="preserve"> </w:t>
      </w:r>
      <w:proofErr w:type="spellStart"/>
      <w:r w:rsidRPr="00F20574">
        <w:rPr>
          <w:rFonts w:ascii="Times New Roman" w:hAnsi="Times New Roman"/>
          <w:sz w:val="22"/>
          <w:szCs w:val="22"/>
        </w:rPr>
        <w:t>Panam</w:t>
      </w:r>
      <w:proofErr w:type="spellEnd"/>
      <w:r w:rsidRPr="00F20574">
        <w:rPr>
          <w:rFonts w:ascii="Times New Roman" w:hAnsi="Times New Roman"/>
          <w:sz w:val="22"/>
          <w:szCs w:val="22"/>
        </w:rPr>
        <w:t xml:space="preserve"> Salud Publica. 2019;</w:t>
      </w:r>
      <w:proofErr w:type="gramStart"/>
      <w:r w:rsidRPr="00F20574">
        <w:rPr>
          <w:rFonts w:ascii="Times New Roman" w:hAnsi="Times New Roman"/>
          <w:sz w:val="22"/>
          <w:szCs w:val="22"/>
        </w:rPr>
        <w:t>43:e</w:t>
      </w:r>
      <w:proofErr w:type="gramEnd"/>
      <w:r w:rsidRPr="00F20574">
        <w:rPr>
          <w:rFonts w:ascii="Times New Roman" w:hAnsi="Times New Roman"/>
          <w:sz w:val="22"/>
          <w:szCs w:val="22"/>
        </w:rPr>
        <w:t xml:space="preserve">35. </w:t>
      </w:r>
      <w:hyperlink r:id="rId3" w:history="1">
        <w:r w:rsidRPr="00F20574">
          <w:rPr>
            <w:rStyle w:val="Hipervnculo"/>
            <w:rFonts w:ascii="Times New Roman" w:hAnsi="Times New Roman"/>
            <w:sz w:val="22"/>
            <w:szCs w:val="22"/>
          </w:rPr>
          <w:t>https://doi.org/10.26633/RPSP.2019.35</w:t>
        </w:r>
      </w:hyperlink>
    </w:p>
    <w:p w14:paraId="6387F3D6" w14:textId="77777777" w:rsidR="00FD6E8B" w:rsidRPr="00F20574" w:rsidRDefault="00FD6E8B" w:rsidP="0065634F">
      <w:pPr>
        <w:pStyle w:val="Textonotaalfinal"/>
        <w:jc w:val="left"/>
        <w:rPr>
          <w:rFonts w:ascii="Times New Roman" w:hAnsi="Times New Roman"/>
          <w:sz w:val="22"/>
          <w:szCs w:val="22"/>
        </w:rPr>
      </w:pPr>
    </w:p>
  </w:endnote>
  <w:endnote w:id="6">
    <w:p w14:paraId="003B52EA" w14:textId="77777777" w:rsidR="00FD6E8B" w:rsidRPr="00F20574" w:rsidRDefault="00FD6E8B" w:rsidP="0065634F">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rPr>
        <w:t xml:space="preserve"> Orantes CD, Almaguer M, Alonso P, Díaz M, Hernández S, Herrera R, Silva LC. </w:t>
      </w:r>
      <w:r w:rsidRPr="00F20574">
        <w:rPr>
          <w:rFonts w:ascii="Times New Roman" w:hAnsi="Times New Roman"/>
          <w:sz w:val="22"/>
          <w:szCs w:val="22"/>
          <w:lang w:val="en-US"/>
        </w:rPr>
        <w:t xml:space="preserve">The Chronic Kidney Disease Epidemic in El Salvador: A Cross-Sectional Study. MEDICC Review. 2019, 21 (2–3): 29-37. </w:t>
      </w:r>
    </w:p>
    <w:p w14:paraId="7EE8833E" w14:textId="77777777" w:rsidR="00FD6E8B" w:rsidRPr="00F20574" w:rsidRDefault="00FD6E8B" w:rsidP="0065634F">
      <w:pPr>
        <w:pStyle w:val="Textonotaalfinal"/>
        <w:jc w:val="left"/>
        <w:rPr>
          <w:rFonts w:ascii="Times New Roman" w:hAnsi="Times New Roman"/>
          <w:sz w:val="22"/>
          <w:szCs w:val="22"/>
          <w:lang w:val="en-US"/>
        </w:rPr>
      </w:pPr>
    </w:p>
  </w:endnote>
  <w:endnote w:id="7">
    <w:p w14:paraId="33429C18" w14:textId="77777777" w:rsidR="00FD6E8B" w:rsidRPr="00F20574" w:rsidRDefault="00FD6E8B" w:rsidP="00062BB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r w:rsidRPr="00F20574">
        <w:rPr>
          <w:rFonts w:ascii="Times New Roman" w:hAnsi="Times New Roman"/>
          <w:sz w:val="22"/>
          <w:szCs w:val="22"/>
          <w:lang w:val="en-US"/>
        </w:rPr>
        <w:t xml:space="preserve">Pan American Health Organization. Epidemic of Chronic Kidney Disease in Agricultural Communities in Central America. Case definitions, methodological basis and approaches for public health surveillance. Hoy </w:t>
      </w:r>
      <w:r>
        <w:rPr>
          <w:rFonts w:ascii="Times New Roman" w:hAnsi="Times New Roman"/>
          <w:sz w:val="22"/>
          <w:szCs w:val="22"/>
          <w:lang w:val="en-US"/>
        </w:rPr>
        <w:t>W</w:t>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Ordúñez</w:t>
      </w:r>
      <w:proofErr w:type="spellEnd"/>
      <w:r w:rsidRPr="00F20574">
        <w:rPr>
          <w:rFonts w:ascii="Times New Roman" w:hAnsi="Times New Roman"/>
          <w:sz w:val="22"/>
          <w:szCs w:val="22"/>
          <w:lang w:val="en-US"/>
        </w:rPr>
        <w:t xml:space="preserve"> P (</w:t>
      </w:r>
      <w:proofErr w:type="spellStart"/>
      <w:r w:rsidRPr="00F20574">
        <w:rPr>
          <w:rFonts w:ascii="Times New Roman" w:hAnsi="Times New Roman"/>
          <w:sz w:val="22"/>
          <w:szCs w:val="22"/>
          <w:lang w:val="en-US"/>
        </w:rPr>
        <w:t>Eds</w:t>
      </w:r>
      <w:proofErr w:type="spellEnd"/>
      <w:r w:rsidRPr="00F20574">
        <w:rPr>
          <w:rFonts w:ascii="Times New Roman" w:hAnsi="Times New Roman"/>
          <w:sz w:val="22"/>
          <w:szCs w:val="22"/>
          <w:lang w:val="en-US"/>
        </w:rPr>
        <w:t>). Washington, D.C.: PAHO; 2017</w:t>
      </w:r>
    </w:p>
    <w:p w14:paraId="1D6B1D36" w14:textId="77777777" w:rsidR="00FD6E8B" w:rsidRPr="00F20574" w:rsidRDefault="00FD6E8B" w:rsidP="00062BB9">
      <w:pPr>
        <w:pStyle w:val="Textonotaalfinal"/>
        <w:jc w:val="left"/>
        <w:rPr>
          <w:rFonts w:ascii="Times New Roman" w:hAnsi="Times New Roman"/>
          <w:sz w:val="22"/>
          <w:szCs w:val="22"/>
          <w:lang w:val="en-US"/>
        </w:rPr>
      </w:pPr>
    </w:p>
  </w:endnote>
  <w:endnote w:id="8">
    <w:p w14:paraId="314C67F3" w14:textId="77777777" w:rsidR="00FD6E8B" w:rsidRPr="00F20574" w:rsidRDefault="00FD6E8B" w:rsidP="00062BB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Wesseling</w:t>
      </w:r>
      <w:proofErr w:type="spellEnd"/>
      <w:r w:rsidRPr="00F20574">
        <w:rPr>
          <w:rFonts w:ascii="Times New Roman" w:hAnsi="Times New Roman"/>
          <w:sz w:val="22"/>
          <w:szCs w:val="22"/>
          <w:lang w:val="en-US"/>
        </w:rPr>
        <w:t xml:space="preserve"> C, Crow J, </w:t>
      </w:r>
      <w:proofErr w:type="spellStart"/>
      <w:r w:rsidRPr="00F20574">
        <w:rPr>
          <w:rFonts w:ascii="Times New Roman" w:hAnsi="Times New Roman"/>
          <w:sz w:val="22"/>
          <w:szCs w:val="22"/>
          <w:lang w:val="en-US"/>
        </w:rPr>
        <w:t>Hagstedt</w:t>
      </w:r>
      <w:proofErr w:type="spellEnd"/>
      <w:r w:rsidRPr="00F20574">
        <w:rPr>
          <w:rFonts w:ascii="Times New Roman" w:hAnsi="Times New Roman"/>
          <w:sz w:val="22"/>
          <w:szCs w:val="22"/>
          <w:lang w:val="en-US"/>
        </w:rPr>
        <w:t xml:space="preserve"> C, </w:t>
      </w:r>
      <w:proofErr w:type="spellStart"/>
      <w:r w:rsidRPr="00F20574">
        <w:rPr>
          <w:rFonts w:ascii="Times New Roman" w:hAnsi="Times New Roman"/>
          <w:sz w:val="22"/>
          <w:szCs w:val="22"/>
          <w:lang w:val="en-US"/>
        </w:rPr>
        <w:t>Jakobsson</w:t>
      </w:r>
      <w:proofErr w:type="spellEnd"/>
      <w:r w:rsidRPr="00F20574">
        <w:rPr>
          <w:rFonts w:ascii="Times New Roman" w:hAnsi="Times New Roman"/>
          <w:sz w:val="22"/>
          <w:szCs w:val="22"/>
          <w:lang w:val="en-US"/>
        </w:rPr>
        <w:t xml:space="preserve"> K, Lucas R, </w:t>
      </w:r>
      <w:proofErr w:type="spellStart"/>
      <w:r w:rsidRPr="00F20574">
        <w:rPr>
          <w:rFonts w:ascii="Times New Roman" w:hAnsi="Times New Roman"/>
          <w:sz w:val="22"/>
          <w:szCs w:val="22"/>
          <w:lang w:val="en-US"/>
        </w:rPr>
        <w:t>Wegman</w:t>
      </w:r>
      <w:proofErr w:type="spellEnd"/>
      <w:r w:rsidRPr="00F20574">
        <w:rPr>
          <w:rFonts w:ascii="Times New Roman" w:hAnsi="Times New Roman"/>
          <w:sz w:val="22"/>
          <w:szCs w:val="22"/>
          <w:lang w:val="en-US"/>
        </w:rPr>
        <w:t xml:space="preserve"> DH. The epidemic of chronic kidney disease of unknown etiology in Mesoamerica: a call for interdisciplinary research and action. Am J Public Health. 2013;103(11):1927−30</w:t>
      </w:r>
    </w:p>
    <w:p w14:paraId="5B3CAC1E" w14:textId="77777777" w:rsidR="00FD6E8B" w:rsidRPr="00F20574" w:rsidRDefault="00FD6E8B" w:rsidP="00062BB9">
      <w:pPr>
        <w:pStyle w:val="Textonotaalfinal"/>
        <w:jc w:val="left"/>
        <w:rPr>
          <w:rFonts w:ascii="Times New Roman" w:hAnsi="Times New Roman"/>
          <w:sz w:val="22"/>
          <w:szCs w:val="22"/>
          <w:lang w:val="en-US"/>
        </w:rPr>
      </w:pPr>
    </w:p>
  </w:endnote>
  <w:endnote w:id="9">
    <w:p w14:paraId="41A3E8BE" w14:textId="77777777" w:rsidR="00FD6E8B" w:rsidRPr="00F20574" w:rsidRDefault="00FD6E8B" w:rsidP="00062BB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726699">
        <w:rPr>
          <w:rFonts w:ascii="Times New Roman" w:hAnsi="Times New Roman"/>
          <w:sz w:val="22"/>
          <w:szCs w:val="22"/>
          <w:lang w:val="en-US"/>
        </w:rPr>
        <w:t xml:space="preserve"> Almaguer M, Herrera R, Orantes CM. </w:t>
      </w:r>
      <w:r w:rsidRPr="00F20574">
        <w:rPr>
          <w:rFonts w:ascii="Times New Roman" w:hAnsi="Times New Roman"/>
          <w:sz w:val="22"/>
          <w:szCs w:val="22"/>
          <w:lang w:val="en-US"/>
        </w:rPr>
        <w:t>Chronic kidney disease of unknown etiology in agricultural communities. MEDICC Rev. 2014;16(2):9‒15.</w:t>
      </w:r>
    </w:p>
    <w:p w14:paraId="4824A5CD" w14:textId="77777777" w:rsidR="00FD6E8B" w:rsidRPr="00F20574" w:rsidRDefault="00FD6E8B" w:rsidP="00062BB9">
      <w:pPr>
        <w:pStyle w:val="Textonotaalfinal"/>
        <w:jc w:val="left"/>
        <w:rPr>
          <w:rFonts w:ascii="Times New Roman" w:hAnsi="Times New Roman"/>
          <w:sz w:val="22"/>
          <w:szCs w:val="22"/>
          <w:lang w:val="en-US"/>
        </w:rPr>
      </w:pPr>
    </w:p>
  </w:endnote>
  <w:endnote w:id="10">
    <w:p w14:paraId="4FC4EF25" w14:textId="758A1962" w:rsidR="006972F7" w:rsidRPr="006972F7" w:rsidRDefault="006972F7">
      <w:pPr>
        <w:pStyle w:val="Textonotaalfinal"/>
        <w:rPr>
          <w:rFonts w:ascii="Times New Roman" w:hAnsi="Times New Roman"/>
          <w:sz w:val="22"/>
          <w:szCs w:val="22"/>
          <w:lang w:val="en-US"/>
        </w:rPr>
      </w:pPr>
      <w:r w:rsidRPr="006972F7">
        <w:rPr>
          <w:rStyle w:val="Refdenotaalfinal"/>
          <w:rFonts w:ascii="Times New Roman" w:hAnsi="Times New Roman"/>
        </w:rPr>
        <w:endnoteRef/>
      </w:r>
      <w:r w:rsidRPr="006972F7">
        <w:rPr>
          <w:rFonts w:ascii="Times New Roman" w:hAnsi="Times New Roman"/>
          <w:lang w:val="en-US"/>
        </w:rPr>
        <w:t xml:space="preserve"> </w:t>
      </w:r>
      <w:r>
        <w:rPr>
          <w:rFonts w:ascii="Times New Roman" w:hAnsi="Times New Roman"/>
          <w:lang w:val="en-US"/>
        </w:rPr>
        <w:t xml:space="preserve"> </w:t>
      </w:r>
      <w:r w:rsidRPr="006972F7">
        <w:rPr>
          <w:rFonts w:ascii="Times New Roman" w:hAnsi="Times New Roman"/>
          <w:sz w:val="22"/>
          <w:szCs w:val="22"/>
          <w:lang w:val="en-US"/>
        </w:rPr>
        <w:t xml:space="preserve">Weaver VM, </w:t>
      </w:r>
      <w:proofErr w:type="spellStart"/>
      <w:r w:rsidRPr="006972F7">
        <w:rPr>
          <w:rFonts w:ascii="Times New Roman" w:hAnsi="Times New Roman"/>
          <w:sz w:val="22"/>
          <w:szCs w:val="22"/>
          <w:lang w:val="en-US"/>
        </w:rPr>
        <w:t>Fadrowski</w:t>
      </w:r>
      <w:proofErr w:type="spellEnd"/>
      <w:r w:rsidRPr="006972F7">
        <w:rPr>
          <w:rFonts w:ascii="Times New Roman" w:hAnsi="Times New Roman"/>
          <w:sz w:val="22"/>
          <w:szCs w:val="22"/>
          <w:lang w:val="en-US"/>
        </w:rPr>
        <w:t xml:space="preserve"> JJ, </w:t>
      </w:r>
      <w:proofErr w:type="spellStart"/>
      <w:r w:rsidRPr="006972F7">
        <w:rPr>
          <w:rFonts w:ascii="Times New Roman" w:hAnsi="Times New Roman"/>
          <w:sz w:val="22"/>
          <w:szCs w:val="22"/>
          <w:lang w:val="en-US"/>
        </w:rPr>
        <w:t>Jaar</w:t>
      </w:r>
      <w:proofErr w:type="spellEnd"/>
      <w:r w:rsidRPr="006972F7">
        <w:rPr>
          <w:rFonts w:ascii="Times New Roman" w:hAnsi="Times New Roman"/>
          <w:sz w:val="22"/>
          <w:szCs w:val="22"/>
          <w:lang w:val="en-US"/>
        </w:rPr>
        <w:t xml:space="preserve"> BG. Global dimensions of chronic kidney disease of unknown etiology (</w:t>
      </w:r>
      <w:proofErr w:type="spellStart"/>
      <w:r w:rsidRPr="006972F7">
        <w:rPr>
          <w:rFonts w:ascii="Times New Roman" w:hAnsi="Times New Roman"/>
          <w:sz w:val="22"/>
          <w:szCs w:val="22"/>
          <w:lang w:val="en-US"/>
        </w:rPr>
        <w:t>CKDu</w:t>
      </w:r>
      <w:proofErr w:type="spellEnd"/>
      <w:r w:rsidRPr="006972F7">
        <w:rPr>
          <w:rFonts w:ascii="Times New Roman" w:hAnsi="Times New Roman"/>
          <w:sz w:val="22"/>
          <w:szCs w:val="22"/>
          <w:lang w:val="en-US"/>
        </w:rPr>
        <w:t xml:space="preserve">): a modern era environmental and/or occupational nephropathy? BMC </w:t>
      </w:r>
      <w:proofErr w:type="spellStart"/>
      <w:r w:rsidRPr="006972F7">
        <w:rPr>
          <w:rFonts w:ascii="Times New Roman" w:hAnsi="Times New Roman"/>
          <w:sz w:val="22"/>
          <w:szCs w:val="22"/>
          <w:lang w:val="en-US"/>
        </w:rPr>
        <w:t>Nephrol</w:t>
      </w:r>
      <w:proofErr w:type="spellEnd"/>
      <w:r w:rsidRPr="006972F7">
        <w:rPr>
          <w:rFonts w:ascii="Times New Roman" w:hAnsi="Times New Roman"/>
          <w:sz w:val="22"/>
          <w:szCs w:val="22"/>
          <w:lang w:val="en-US"/>
        </w:rPr>
        <w:t xml:space="preserve">. </w:t>
      </w:r>
      <w:proofErr w:type="gramStart"/>
      <w:r w:rsidRPr="006972F7">
        <w:rPr>
          <w:rFonts w:ascii="Times New Roman" w:hAnsi="Times New Roman"/>
          <w:sz w:val="22"/>
          <w:szCs w:val="22"/>
          <w:lang w:val="en-US"/>
        </w:rPr>
        <w:t>2015;16:145</w:t>
      </w:r>
      <w:proofErr w:type="gramEnd"/>
      <w:r w:rsidRPr="006972F7">
        <w:rPr>
          <w:rFonts w:ascii="Times New Roman" w:hAnsi="Times New Roman"/>
          <w:sz w:val="22"/>
          <w:szCs w:val="22"/>
          <w:lang w:val="en-US"/>
        </w:rPr>
        <w:t>.</w:t>
      </w:r>
    </w:p>
    <w:p w14:paraId="46D905F8" w14:textId="77777777" w:rsidR="006972F7" w:rsidRPr="006972F7" w:rsidRDefault="006972F7">
      <w:pPr>
        <w:pStyle w:val="Textonotaalfinal"/>
        <w:rPr>
          <w:lang w:val="en-US"/>
        </w:rPr>
      </w:pPr>
    </w:p>
  </w:endnote>
  <w:endnote w:id="11">
    <w:p w14:paraId="039C877F" w14:textId="77777777" w:rsidR="00FD6E8B" w:rsidRPr="00F20574" w:rsidRDefault="00FD6E8B" w:rsidP="00062BB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Agampodi</w:t>
      </w:r>
      <w:proofErr w:type="spellEnd"/>
      <w:r w:rsidRPr="00F20574">
        <w:rPr>
          <w:rFonts w:ascii="Times New Roman" w:hAnsi="Times New Roman"/>
          <w:sz w:val="22"/>
          <w:szCs w:val="22"/>
          <w:lang w:val="en-US"/>
        </w:rPr>
        <w:t xml:space="preserve"> S, </w:t>
      </w:r>
      <w:proofErr w:type="spellStart"/>
      <w:r w:rsidRPr="00F20574">
        <w:rPr>
          <w:rFonts w:ascii="Times New Roman" w:hAnsi="Times New Roman"/>
          <w:sz w:val="22"/>
          <w:szCs w:val="22"/>
          <w:lang w:val="en-US"/>
        </w:rPr>
        <w:t>Amarasinghe</w:t>
      </w:r>
      <w:proofErr w:type="spellEnd"/>
      <w:r w:rsidRPr="00F20574">
        <w:rPr>
          <w:rFonts w:ascii="Times New Roman" w:hAnsi="Times New Roman"/>
          <w:sz w:val="22"/>
          <w:szCs w:val="22"/>
          <w:lang w:val="en-US"/>
        </w:rPr>
        <w:t xml:space="preserve"> G, </w:t>
      </w:r>
      <w:proofErr w:type="spellStart"/>
      <w:r w:rsidRPr="00F20574">
        <w:rPr>
          <w:rFonts w:ascii="Times New Roman" w:hAnsi="Times New Roman"/>
          <w:sz w:val="22"/>
          <w:szCs w:val="22"/>
          <w:lang w:val="en-US"/>
        </w:rPr>
        <w:t>Naotunna</w:t>
      </w:r>
      <w:proofErr w:type="spellEnd"/>
      <w:r w:rsidRPr="00F20574">
        <w:rPr>
          <w:rFonts w:ascii="Times New Roman" w:hAnsi="Times New Roman"/>
          <w:sz w:val="22"/>
          <w:szCs w:val="22"/>
          <w:lang w:val="en-US"/>
        </w:rPr>
        <w:t xml:space="preserve"> P, </w:t>
      </w:r>
      <w:proofErr w:type="spellStart"/>
      <w:r w:rsidRPr="00F20574">
        <w:rPr>
          <w:rFonts w:ascii="Times New Roman" w:hAnsi="Times New Roman"/>
          <w:sz w:val="22"/>
          <w:szCs w:val="22"/>
          <w:lang w:val="en-US"/>
        </w:rPr>
        <w:t>Jayasumana</w:t>
      </w:r>
      <w:proofErr w:type="spellEnd"/>
      <w:r w:rsidRPr="00F20574">
        <w:rPr>
          <w:rFonts w:ascii="Times New Roman" w:hAnsi="Times New Roman"/>
          <w:sz w:val="22"/>
          <w:szCs w:val="22"/>
          <w:lang w:val="en-US"/>
        </w:rPr>
        <w:t xml:space="preserve"> C, </w:t>
      </w:r>
      <w:proofErr w:type="spellStart"/>
      <w:r w:rsidRPr="00F20574">
        <w:rPr>
          <w:rFonts w:ascii="Times New Roman" w:hAnsi="Times New Roman"/>
          <w:sz w:val="22"/>
          <w:szCs w:val="22"/>
          <w:lang w:val="en-US"/>
        </w:rPr>
        <w:t>Siribaddana</w:t>
      </w:r>
      <w:proofErr w:type="spellEnd"/>
      <w:r w:rsidRPr="00F20574">
        <w:rPr>
          <w:rFonts w:ascii="Times New Roman" w:hAnsi="Times New Roman"/>
          <w:sz w:val="22"/>
          <w:szCs w:val="22"/>
          <w:lang w:val="en-US"/>
        </w:rPr>
        <w:t xml:space="preserve"> S. Early renal damage among children living in the region of highest burden of chronic kidney disease of unknown etiology (</w:t>
      </w:r>
      <w:proofErr w:type="spellStart"/>
      <w:r w:rsidRPr="00F20574">
        <w:rPr>
          <w:rFonts w:ascii="Times New Roman" w:hAnsi="Times New Roman"/>
          <w:sz w:val="22"/>
          <w:szCs w:val="22"/>
          <w:lang w:val="en-US"/>
        </w:rPr>
        <w:t>CKDu</w:t>
      </w:r>
      <w:proofErr w:type="spellEnd"/>
      <w:r w:rsidRPr="00F20574">
        <w:rPr>
          <w:rFonts w:ascii="Times New Roman" w:hAnsi="Times New Roman"/>
          <w:sz w:val="22"/>
          <w:szCs w:val="22"/>
          <w:lang w:val="en-US"/>
        </w:rPr>
        <w:t xml:space="preserve">) in Sri Lanka. BMC Nephrology. 2018; 19:115. </w:t>
      </w:r>
    </w:p>
    <w:p w14:paraId="2706C651" w14:textId="77777777" w:rsidR="00FD6E8B" w:rsidRPr="00F20574" w:rsidRDefault="00FD6E8B" w:rsidP="00062BB9">
      <w:pPr>
        <w:pStyle w:val="Textonotaalfinal"/>
        <w:jc w:val="left"/>
        <w:rPr>
          <w:rFonts w:ascii="Times New Roman" w:hAnsi="Times New Roman"/>
          <w:sz w:val="22"/>
          <w:szCs w:val="22"/>
          <w:lang w:val="en-US"/>
        </w:rPr>
      </w:pPr>
    </w:p>
  </w:endnote>
  <w:endnote w:id="12">
    <w:p w14:paraId="49F2C739" w14:textId="77777777" w:rsidR="00FD6E8B" w:rsidRPr="00F20574" w:rsidRDefault="00FD6E8B" w:rsidP="00062BB9">
      <w:pPr>
        <w:pStyle w:val="Textonotaalfinal"/>
        <w:jc w:val="left"/>
        <w:rPr>
          <w:rFonts w:ascii="Times New Roman" w:hAnsi="Times New Roman"/>
          <w:iCs/>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hAnsi="Times New Roman"/>
          <w:iCs/>
          <w:sz w:val="22"/>
          <w:szCs w:val="22"/>
          <w:lang w:val="en-US"/>
        </w:rPr>
        <w:t>Ruwanpathirana</w:t>
      </w:r>
      <w:proofErr w:type="spellEnd"/>
      <w:r w:rsidRPr="00F20574">
        <w:rPr>
          <w:rFonts w:ascii="Times New Roman" w:hAnsi="Times New Roman"/>
          <w:iCs/>
          <w:sz w:val="22"/>
          <w:szCs w:val="22"/>
          <w:lang w:val="en-US"/>
        </w:rPr>
        <w:t xml:space="preserve"> T, </w:t>
      </w:r>
      <w:proofErr w:type="spellStart"/>
      <w:r w:rsidRPr="00F20574">
        <w:rPr>
          <w:rFonts w:ascii="Times New Roman" w:hAnsi="Times New Roman"/>
          <w:iCs/>
          <w:sz w:val="22"/>
          <w:szCs w:val="22"/>
          <w:lang w:val="en-US"/>
        </w:rPr>
        <w:t>Senanayake</w:t>
      </w:r>
      <w:proofErr w:type="spellEnd"/>
      <w:r w:rsidRPr="00F20574">
        <w:rPr>
          <w:rFonts w:ascii="Times New Roman" w:hAnsi="Times New Roman"/>
          <w:iCs/>
          <w:sz w:val="22"/>
          <w:szCs w:val="22"/>
          <w:lang w:val="en-US"/>
        </w:rPr>
        <w:t xml:space="preserve"> S, </w:t>
      </w:r>
      <w:proofErr w:type="spellStart"/>
      <w:r w:rsidRPr="00F20574">
        <w:rPr>
          <w:rFonts w:ascii="Times New Roman" w:hAnsi="Times New Roman"/>
          <w:iCs/>
          <w:sz w:val="22"/>
          <w:szCs w:val="22"/>
          <w:lang w:val="en-US"/>
        </w:rPr>
        <w:t>Gunawardana</w:t>
      </w:r>
      <w:proofErr w:type="spellEnd"/>
      <w:r w:rsidRPr="00F20574">
        <w:rPr>
          <w:rFonts w:ascii="Times New Roman" w:hAnsi="Times New Roman"/>
          <w:iCs/>
          <w:sz w:val="22"/>
          <w:szCs w:val="22"/>
          <w:lang w:val="en-US"/>
        </w:rPr>
        <w:t xml:space="preserve"> N, </w:t>
      </w:r>
      <w:proofErr w:type="spellStart"/>
      <w:r w:rsidRPr="00F20574">
        <w:rPr>
          <w:rFonts w:ascii="Times New Roman" w:hAnsi="Times New Roman"/>
          <w:iCs/>
          <w:sz w:val="22"/>
          <w:szCs w:val="22"/>
          <w:lang w:val="en-US"/>
        </w:rPr>
        <w:t>Munasinghe</w:t>
      </w:r>
      <w:proofErr w:type="spellEnd"/>
      <w:r w:rsidRPr="00F20574">
        <w:rPr>
          <w:rFonts w:ascii="Times New Roman" w:hAnsi="Times New Roman"/>
          <w:iCs/>
          <w:sz w:val="22"/>
          <w:szCs w:val="22"/>
          <w:lang w:val="en-US"/>
        </w:rPr>
        <w:t xml:space="preserve"> A, </w:t>
      </w:r>
      <w:proofErr w:type="spellStart"/>
      <w:r w:rsidRPr="00F20574">
        <w:rPr>
          <w:rFonts w:ascii="Times New Roman" w:hAnsi="Times New Roman"/>
          <w:iCs/>
          <w:sz w:val="22"/>
          <w:szCs w:val="22"/>
          <w:lang w:val="en-US"/>
        </w:rPr>
        <w:t>Ginige</w:t>
      </w:r>
      <w:proofErr w:type="spellEnd"/>
      <w:r w:rsidRPr="00F20574">
        <w:rPr>
          <w:rFonts w:ascii="Times New Roman" w:hAnsi="Times New Roman"/>
          <w:iCs/>
          <w:sz w:val="22"/>
          <w:szCs w:val="22"/>
          <w:lang w:val="en-US"/>
        </w:rPr>
        <w:t xml:space="preserve"> S, </w:t>
      </w:r>
      <w:proofErr w:type="spellStart"/>
      <w:r w:rsidRPr="00F20574">
        <w:rPr>
          <w:rFonts w:ascii="Times New Roman" w:hAnsi="Times New Roman"/>
          <w:iCs/>
          <w:sz w:val="22"/>
          <w:szCs w:val="22"/>
          <w:lang w:val="en-US"/>
        </w:rPr>
        <w:t>Gamage</w:t>
      </w:r>
      <w:proofErr w:type="spellEnd"/>
      <w:r w:rsidRPr="00F20574">
        <w:rPr>
          <w:rFonts w:ascii="Times New Roman" w:hAnsi="Times New Roman"/>
          <w:iCs/>
          <w:sz w:val="22"/>
          <w:szCs w:val="22"/>
          <w:lang w:val="en-US"/>
        </w:rPr>
        <w:t xml:space="preserve"> D, et al. Prevalence and risk factors for impaired kidney function in the district of Anuradhapura, Sri Lanka: a cross-sectional population-representative survey in those at risk of chronic kidney disease of unknown </w:t>
      </w:r>
      <w:proofErr w:type="spellStart"/>
      <w:r w:rsidRPr="00F20574">
        <w:rPr>
          <w:rFonts w:ascii="Times New Roman" w:hAnsi="Times New Roman"/>
          <w:iCs/>
          <w:sz w:val="22"/>
          <w:szCs w:val="22"/>
          <w:lang w:val="en-US"/>
        </w:rPr>
        <w:t>aetiology</w:t>
      </w:r>
      <w:proofErr w:type="spellEnd"/>
      <w:r w:rsidRPr="00F20574">
        <w:rPr>
          <w:rFonts w:ascii="Times New Roman" w:hAnsi="Times New Roman"/>
          <w:iCs/>
          <w:sz w:val="22"/>
          <w:szCs w:val="22"/>
          <w:lang w:val="en-US"/>
        </w:rPr>
        <w:t>. BMC Public Health. 2019;19(1):763.</w:t>
      </w:r>
    </w:p>
    <w:p w14:paraId="01D1BF96" w14:textId="77777777" w:rsidR="00FD6E8B" w:rsidRPr="00F20574" w:rsidRDefault="00FD6E8B" w:rsidP="00062BB9">
      <w:pPr>
        <w:pStyle w:val="Textonotaalfinal"/>
        <w:jc w:val="left"/>
        <w:rPr>
          <w:rFonts w:ascii="Times New Roman" w:hAnsi="Times New Roman"/>
          <w:sz w:val="22"/>
          <w:szCs w:val="22"/>
          <w:highlight w:val="yellow"/>
          <w:lang w:val="en-US"/>
        </w:rPr>
      </w:pPr>
    </w:p>
  </w:endnote>
  <w:endnote w:id="13">
    <w:p w14:paraId="0019D4B9" w14:textId="77777777" w:rsidR="00FD6E8B" w:rsidRPr="00F20574" w:rsidRDefault="00FD6E8B" w:rsidP="00062BB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O’Callaghan C, </w:t>
      </w:r>
      <w:proofErr w:type="spellStart"/>
      <w:r w:rsidRPr="00F20574">
        <w:rPr>
          <w:rFonts w:ascii="Times New Roman" w:hAnsi="Times New Roman"/>
          <w:sz w:val="22"/>
          <w:szCs w:val="22"/>
          <w:lang w:val="en-US"/>
        </w:rPr>
        <w:t>Shivashankar</w:t>
      </w:r>
      <w:proofErr w:type="spellEnd"/>
      <w:r w:rsidRPr="00F20574">
        <w:rPr>
          <w:rFonts w:ascii="Times New Roman" w:hAnsi="Times New Roman"/>
          <w:sz w:val="22"/>
          <w:szCs w:val="22"/>
          <w:lang w:val="en-US"/>
        </w:rPr>
        <w:t xml:space="preserve"> R, </w:t>
      </w:r>
      <w:proofErr w:type="spellStart"/>
      <w:r w:rsidRPr="00F20574">
        <w:rPr>
          <w:rFonts w:ascii="Times New Roman" w:hAnsi="Times New Roman"/>
          <w:sz w:val="22"/>
          <w:szCs w:val="22"/>
          <w:lang w:val="en-US"/>
        </w:rPr>
        <w:t>Anand</w:t>
      </w:r>
      <w:proofErr w:type="spellEnd"/>
      <w:r w:rsidRPr="00F20574">
        <w:rPr>
          <w:rFonts w:ascii="Times New Roman" w:hAnsi="Times New Roman"/>
          <w:sz w:val="22"/>
          <w:szCs w:val="22"/>
          <w:lang w:val="en-US"/>
        </w:rPr>
        <w:t xml:space="preserve"> S, Ghosh S, Glaser J, Gupta R</w:t>
      </w:r>
      <w:r>
        <w:rPr>
          <w:rFonts w:ascii="Times New Roman" w:hAnsi="Times New Roman"/>
          <w:sz w:val="22"/>
          <w:szCs w:val="22"/>
          <w:lang w:val="en-US"/>
        </w:rPr>
        <w:t>,</w:t>
      </w:r>
      <w:r w:rsidRPr="00F20574">
        <w:rPr>
          <w:rFonts w:ascii="Times New Roman" w:hAnsi="Times New Roman"/>
          <w:sz w:val="22"/>
          <w:szCs w:val="22"/>
          <w:lang w:val="en-US"/>
        </w:rPr>
        <w:t xml:space="preserve"> et al. Prevalence of and risk factors for chronic kidney disease of unknown </w:t>
      </w:r>
      <w:proofErr w:type="spellStart"/>
      <w:r w:rsidRPr="00F20574">
        <w:rPr>
          <w:rFonts w:ascii="Times New Roman" w:hAnsi="Times New Roman"/>
          <w:sz w:val="22"/>
          <w:szCs w:val="22"/>
          <w:lang w:val="en-US"/>
        </w:rPr>
        <w:t>aetiology</w:t>
      </w:r>
      <w:proofErr w:type="spellEnd"/>
      <w:r w:rsidRPr="00F20574">
        <w:rPr>
          <w:rFonts w:ascii="Times New Roman" w:hAnsi="Times New Roman"/>
          <w:sz w:val="22"/>
          <w:szCs w:val="22"/>
          <w:lang w:val="en-US"/>
        </w:rPr>
        <w:t xml:space="preserve"> in India. BMJ Open. 2019;</w:t>
      </w:r>
      <w:proofErr w:type="gramStart"/>
      <w:r w:rsidRPr="00F20574">
        <w:rPr>
          <w:rFonts w:ascii="Times New Roman" w:hAnsi="Times New Roman"/>
          <w:sz w:val="22"/>
          <w:szCs w:val="22"/>
          <w:lang w:val="en-US"/>
        </w:rPr>
        <w:t>9:e</w:t>
      </w:r>
      <w:proofErr w:type="gramEnd"/>
      <w:r w:rsidRPr="00F20574">
        <w:rPr>
          <w:rFonts w:ascii="Times New Roman" w:hAnsi="Times New Roman"/>
          <w:sz w:val="22"/>
          <w:szCs w:val="22"/>
          <w:lang w:val="en-US"/>
        </w:rPr>
        <w:t>023353.</w:t>
      </w:r>
    </w:p>
    <w:p w14:paraId="7A0276D3" w14:textId="77777777" w:rsidR="00FD6E8B" w:rsidRPr="00F20574" w:rsidRDefault="00FD6E8B" w:rsidP="00062BB9">
      <w:pPr>
        <w:pStyle w:val="Textonotaalfinal"/>
        <w:jc w:val="left"/>
        <w:rPr>
          <w:rFonts w:ascii="Times New Roman" w:hAnsi="Times New Roman"/>
          <w:sz w:val="22"/>
          <w:szCs w:val="22"/>
          <w:lang w:val="en-US"/>
        </w:rPr>
      </w:pPr>
    </w:p>
  </w:endnote>
  <w:endnote w:id="14">
    <w:p w14:paraId="5B6D25D8" w14:textId="77777777" w:rsidR="00FD6E8B" w:rsidRPr="00F20574" w:rsidRDefault="00FD6E8B" w:rsidP="000B3019">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Ordúñez</w:t>
      </w:r>
      <w:proofErr w:type="spellEnd"/>
      <w:r w:rsidRPr="00F20574">
        <w:rPr>
          <w:rFonts w:ascii="Times New Roman" w:hAnsi="Times New Roman"/>
          <w:sz w:val="22"/>
          <w:szCs w:val="22"/>
          <w:lang w:val="en-US"/>
        </w:rPr>
        <w:t xml:space="preserve"> P, </w:t>
      </w:r>
      <w:proofErr w:type="spellStart"/>
      <w:r w:rsidRPr="00F20574">
        <w:rPr>
          <w:rFonts w:ascii="Times New Roman" w:hAnsi="Times New Roman"/>
          <w:sz w:val="22"/>
          <w:szCs w:val="22"/>
          <w:lang w:val="en-US"/>
        </w:rPr>
        <w:t>Sáenz</w:t>
      </w:r>
      <w:proofErr w:type="spellEnd"/>
      <w:r w:rsidRPr="00F20574">
        <w:rPr>
          <w:rFonts w:ascii="Times New Roman" w:hAnsi="Times New Roman"/>
          <w:sz w:val="22"/>
          <w:szCs w:val="22"/>
          <w:lang w:val="en-US"/>
        </w:rPr>
        <w:t xml:space="preserve"> C, Martínez R, Chapman E, </w:t>
      </w:r>
      <w:proofErr w:type="spellStart"/>
      <w:r w:rsidRPr="00F20574">
        <w:rPr>
          <w:rFonts w:ascii="Times New Roman" w:hAnsi="Times New Roman"/>
          <w:sz w:val="22"/>
          <w:szCs w:val="22"/>
          <w:lang w:val="en-US"/>
        </w:rPr>
        <w:t>Reveiz</w:t>
      </w:r>
      <w:proofErr w:type="spellEnd"/>
      <w:r w:rsidRPr="00F20574">
        <w:rPr>
          <w:rFonts w:ascii="Times New Roman" w:hAnsi="Times New Roman"/>
          <w:sz w:val="22"/>
          <w:szCs w:val="22"/>
          <w:lang w:val="en-US"/>
        </w:rPr>
        <w:t xml:space="preserve"> L, Becerra F. The Epidemic of Chronic Kidney Disease in Central America. </w:t>
      </w:r>
      <w:proofErr w:type="spellStart"/>
      <w:r w:rsidRPr="00F20574">
        <w:rPr>
          <w:rFonts w:ascii="Times New Roman" w:hAnsi="Times New Roman"/>
          <w:sz w:val="22"/>
          <w:szCs w:val="22"/>
        </w:rPr>
        <w:t>Lancet</w:t>
      </w:r>
      <w:proofErr w:type="spellEnd"/>
      <w:r w:rsidRPr="00F20574">
        <w:rPr>
          <w:rFonts w:ascii="Times New Roman" w:hAnsi="Times New Roman"/>
          <w:sz w:val="22"/>
          <w:szCs w:val="22"/>
        </w:rPr>
        <w:t xml:space="preserve"> Global Health. 2014;2(8):9‒10.</w:t>
      </w:r>
    </w:p>
    <w:p w14:paraId="0551C58F" w14:textId="77777777" w:rsidR="00FD6E8B" w:rsidRPr="00F20574" w:rsidRDefault="00FD6E8B" w:rsidP="000B3019">
      <w:pPr>
        <w:pStyle w:val="Textonotaalfinal"/>
        <w:jc w:val="left"/>
        <w:rPr>
          <w:rFonts w:ascii="Times New Roman" w:hAnsi="Times New Roman"/>
          <w:sz w:val="22"/>
          <w:szCs w:val="22"/>
        </w:rPr>
      </w:pPr>
    </w:p>
  </w:endnote>
  <w:endnote w:id="15">
    <w:p w14:paraId="2D14BC9E" w14:textId="77777777" w:rsidR="00FD6E8B" w:rsidRPr="00726699" w:rsidRDefault="00FD6E8B" w:rsidP="000B3019">
      <w:pPr>
        <w:pStyle w:val="Textonotaalfinal"/>
        <w:jc w:val="left"/>
        <w:rPr>
          <w:rFonts w:ascii="Times New Roman" w:hAnsi="Times New Roman"/>
          <w:sz w:val="22"/>
          <w:szCs w:val="22"/>
          <w:lang w:val="es-ES" w:eastAsia="en-US"/>
        </w:rPr>
      </w:pPr>
      <w:r w:rsidRPr="00F20574">
        <w:rPr>
          <w:rStyle w:val="Refdenotaalfinal"/>
          <w:rFonts w:ascii="Times New Roman" w:hAnsi="Times New Roman"/>
          <w:sz w:val="22"/>
          <w:szCs w:val="22"/>
        </w:rPr>
        <w:endnoteRef/>
      </w:r>
      <w:r>
        <w:rPr>
          <w:rFonts w:ascii="Times New Roman" w:hAnsi="Times New Roman"/>
          <w:sz w:val="22"/>
          <w:szCs w:val="22"/>
          <w:lang w:val="es-ES" w:eastAsia="en-US"/>
        </w:rPr>
        <w:t xml:space="preserve"> </w:t>
      </w:r>
      <w:proofErr w:type="spellStart"/>
      <w:r w:rsidRPr="00F20574">
        <w:rPr>
          <w:rFonts w:ascii="Times New Roman" w:hAnsi="Times New Roman"/>
          <w:sz w:val="22"/>
          <w:szCs w:val="22"/>
          <w:lang w:val="es-ES" w:eastAsia="en-US"/>
        </w:rPr>
        <w:t>Jayasumana</w:t>
      </w:r>
      <w:proofErr w:type="spellEnd"/>
      <w:r w:rsidRPr="00F20574">
        <w:rPr>
          <w:rFonts w:ascii="Times New Roman" w:hAnsi="Times New Roman"/>
          <w:sz w:val="22"/>
          <w:szCs w:val="22"/>
          <w:lang w:val="es-ES" w:eastAsia="en-US"/>
        </w:rPr>
        <w:t xml:space="preserve"> C, Orantes C, Herrera R, Almaguer M, </w:t>
      </w:r>
      <w:proofErr w:type="spellStart"/>
      <w:r w:rsidRPr="00F20574">
        <w:rPr>
          <w:rFonts w:ascii="Times New Roman" w:hAnsi="Times New Roman"/>
          <w:sz w:val="22"/>
          <w:szCs w:val="22"/>
          <w:lang w:val="es-ES" w:eastAsia="en-US"/>
        </w:rPr>
        <w:t>Lopez</w:t>
      </w:r>
      <w:proofErr w:type="spellEnd"/>
      <w:r w:rsidRPr="00F20574">
        <w:rPr>
          <w:rFonts w:ascii="Times New Roman" w:hAnsi="Times New Roman"/>
          <w:sz w:val="22"/>
          <w:szCs w:val="22"/>
          <w:lang w:val="es-ES" w:eastAsia="en-US"/>
        </w:rPr>
        <w:t xml:space="preserve"> L, Silva LC, et al. </w:t>
      </w:r>
      <w:r w:rsidRPr="00F20574">
        <w:rPr>
          <w:rFonts w:ascii="Times New Roman" w:hAnsi="Times New Roman"/>
          <w:sz w:val="22"/>
          <w:szCs w:val="22"/>
          <w:lang w:val="en-US" w:eastAsia="en-US"/>
        </w:rPr>
        <w:t xml:space="preserve">Chronic interstitial nephritis in agricultural communities: a worldwide epidemic with social, occupational and environmental determinants. </w:t>
      </w:r>
      <w:proofErr w:type="spellStart"/>
      <w:r w:rsidRPr="00726699">
        <w:rPr>
          <w:rFonts w:ascii="Times New Roman" w:hAnsi="Times New Roman"/>
          <w:sz w:val="22"/>
          <w:szCs w:val="22"/>
          <w:lang w:val="es-ES" w:eastAsia="en-US"/>
        </w:rPr>
        <w:t>Nephrol</w:t>
      </w:r>
      <w:proofErr w:type="spellEnd"/>
      <w:r w:rsidRPr="00726699">
        <w:rPr>
          <w:rFonts w:ascii="Times New Roman" w:hAnsi="Times New Roman"/>
          <w:sz w:val="22"/>
          <w:szCs w:val="22"/>
          <w:lang w:val="es-ES" w:eastAsia="en-US"/>
        </w:rPr>
        <w:t xml:space="preserve"> Dial </w:t>
      </w:r>
      <w:proofErr w:type="spellStart"/>
      <w:r w:rsidRPr="00726699">
        <w:rPr>
          <w:rFonts w:ascii="Times New Roman" w:hAnsi="Times New Roman"/>
          <w:sz w:val="22"/>
          <w:szCs w:val="22"/>
          <w:lang w:val="es-ES" w:eastAsia="en-US"/>
        </w:rPr>
        <w:t>Transplant</w:t>
      </w:r>
      <w:proofErr w:type="spellEnd"/>
      <w:r w:rsidRPr="00726699">
        <w:rPr>
          <w:rFonts w:ascii="Times New Roman" w:hAnsi="Times New Roman"/>
          <w:sz w:val="22"/>
          <w:szCs w:val="22"/>
          <w:lang w:val="es-ES" w:eastAsia="en-US"/>
        </w:rPr>
        <w:t>. 2016;32(2):234‒41.</w:t>
      </w:r>
    </w:p>
    <w:p w14:paraId="0F94BFAF" w14:textId="77777777" w:rsidR="00FD6E8B" w:rsidRPr="00726699" w:rsidRDefault="00FD6E8B" w:rsidP="000B3019">
      <w:pPr>
        <w:pStyle w:val="Textonotaalfinal"/>
        <w:jc w:val="left"/>
        <w:rPr>
          <w:rFonts w:ascii="Times New Roman" w:hAnsi="Times New Roman"/>
          <w:sz w:val="22"/>
          <w:szCs w:val="22"/>
          <w:lang w:val="es-ES"/>
        </w:rPr>
      </w:pPr>
    </w:p>
  </w:endnote>
  <w:endnote w:id="16">
    <w:p w14:paraId="7DDCB875" w14:textId="77777777" w:rsidR="00FD6E8B" w:rsidRPr="00F20574" w:rsidRDefault="00FD6E8B" w:rsidP="000B3019">
      <w:pPr>
        <w:spacing w:after="0" w:line="240" w:lineRule="auto"/>
        <w:rPr>
          <w:rFonts w:ascii="Times New Roman" w:hAnsi="Times New Roman"/>
          <w:color w:val="0000FF"/>
          <w:u w:val="single"/>
        </w:rPr>
      </w:pPr>
      <w:r w:rsidRPr="00F20574">
        <w:rPr>
          <w:rStyle w:val="Refdenotaalfinal"/>
          <w:rFonts w:ascii="Times New Roman" w:hAnsi="Times New Roman"/>
        </w:rPr>
        <w:endnoteRef/>
      </w:r>
      <w:r>
        <w:rPr>
          <w:rFonts w:ascii="Times New Roman" w:hAnsi="Times New Roman"/>
        </w:rPr>
        <w:t xml:space="preserve">  </w:t>
      </w:r>
      <w:r w:rsidRPr="00F20574">
        <w:rPr>
          <w:rFonts w:ascii="Times New Roman" w:hAnsi="Times New Roman"/>
        </w:rPr>
        <w:t xml:space="preserve">Ministerio de Salud/Instituto Nacional de Salud. Encuesta nacional de enfermedades crónicas no transmisibles en población adulta de El Salvador ENECAELS. Resultados relevantes. [Internet]. San Salvador, El Salvador: Ministerio de Salud e Instituto Nacional de Salud; 2015. [citado 12 de septiembre de 2018]. Disponible en: </w:t>
      </w:r>
      <w:hyperlink r:id="rId4" w:history="1">
        <w:r w:rsidRPr="00F20574">
          <w:rPr>
            <w:rFonts w:ascii="Times New Roman" w:hAnsi="Times New Roman"/>
            <w:color w:val="0000FF"/>
            <w:u w:val="single"/>
          </w:rPr>
          <w:t>http://www.salud.gob.sv/archivos/comunicaciones/archivos_comunicados2017/pdf/presentaciones_evento20032017/01-ENECA-ELS-2015.pdf</w:t>
        </w:r>
      </w:hyperlink>
    </w:p>
    <w:p w14:paraId="179D541F" w14:textId="77777777" w:rsidR="00FD6E8B" w:rsidRPr="00F20574" w:rsidRDefault="00FD6E8B" w:rsidP="000B3019">
      <w:pPr>
        <w:spacing w:after="0" w:line="240" w:lineRule="auto"/>
        <w:rPr>
          <w:rFonts w:ascii="Times New Roman" w:hAnsi="Times New Roman"/>
        </w:rPr>
      </w:pPr>
    </w:p>
  </w:endnote>
  <w:endnote w:id="17">
    <w:p w14:paraId="3D0E0AA9" w14:textId="77777777" w:rsidR="00FD6E8B" w:rsidRPr="00F20574" w:rsidRDefault="00FD6E8B" w:rsidP="000B3019">
      <w:pPr>
        <w:pStyle w:val="Textonotaalfinal"/>
        <w:jc w:val="left"/>
        <w:rPr>
          <w:rFonts w:ascii="Times New Roman" w:eastAsia="MS Mincho" w:hAnsi="Times New Roman"/>
          <w:color w:val="000000"/>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rPr>
        <w:t xml:space="preserve"> </w:t>
      </w:r>
      <w:r w:rsidRPr="00F20574">
        <w:rPr>
          <w:rFonts w:ascii="Times New Roman" w:hAnsi="Times New Roman"/>
          <w:iCs/>
          <w:color w:val="000000"/>
          <w:sz w:val="22"/>
          <w:szCs w:val="22"/>
        </w:rPr>
        <w:t>Orantes CM, Herrera R, Almaguer M, Brizuela EG, Núñez L, Alvarado NP</w:t>
      </w:r>
      <w:r>
        <w:rPr>
          <w:rFonts w:ascii="Times New Roman" w:hAnsi="Times New Roman"/>
          <w:iCs/>
          <w:color w:val="000000"/>
          <w:sz w:val="22"/>
          <w:szCs w:val="22"/>
        </w:rPr>
        <w:t>,</w:t>
      </w:r>
      <w:r w:rsidRPr="00F20574">
        <w:rPr>
          <w:rFonts w:ascii="Times New Roman" w:hAnsi="Times New Roman"/>
          <w:iCs/>
          <w:color w:val="000000"/>
          <w:sz w:val="22"/>
          <w:szCs w:val="22"/>
        </w:rPr>
        <w:t xml:space="preserve"> et al</w:t>
      </w:r>
      <w:r w:rsidRPr="00F20574">
        <w:rPr>
          <w:rFonts w:ascii="Times New Roman" w:hAnsi="Times New Roman"/>
          <w:color w:val="000000"/>
          <w:sz w:val="22"/>
          <w:szCs w:val="22"/>
        </w:rPr>
        <w:t xml:space="preserve">. </w:t>
      </w:r>
      <w:r w:rsidRPr="00F20574">
        <w:rPr>
          <w:rFonts w:ascii="Times New Roman" w:hAnsi="Times New Roman"/>
          <w:color w:val="000000"/>
          <w:sz w:val="22"/>
          <w:szCs w:val="22"/>
          <w:lang w:val="en-US"/>
        </w:rPr>
        <w:t xml:space="preserve">Epidemiology of chronic kidney disease in adults of Salvadoran agricultural communities. MEDICC Rev. 2014; </w:t>
      </w:r>
      <w:r w:rsidRPr="00F20574">
        <w:rPr>
          <w:rFonts w:ascii="Times New Roman" w:hAnsi="Times New Roman"/>
          <w:iCs/>
          <w:color w:val="000000"/>
          <w:sz w:val="22"/>
          <w:szCs w:val="22"/>
          <w:lang w:val="en-US"/>
        </w:rPr>
        <w:t xml:space="preserve">16: </w:t>
      </w:r>
      <w:r w:rsidRPr="00F20574">
        <w:rPr>
          <w:rFonts w:ascii="Times New Roman" w:hAnsi="Times New Roman"/>
          <w:color w:val="000000"/>
          <w:sz w:val="22"/>
          <w:szCs w:val="22"/>
          <w:lang w:val="en-US"/>
        </w:rPr>
        <w:t xml:space="preserve">23-30. </w:t>
      </w:r>
    </w:p>
    <w:p w14:paraId="5EBBCD22" w14:textId="77777777" w:rsidR="00FD6E8B" w:rsidRPr="00F20574" w:rsidRDefault="00FD6E8B" w:rsidP="000B3019">
      <w:pPr>
        <w:pStyle w:val="Textonotaalfinal"/>
        <w:jc w:val="left"/>
        <w:rPr>
          <w:rFonts w:ascii="Times New Roman" w:hAnsi="Times New Roman"/>
          <w:sz w:val="22"/>
          <w:szCs w:val="22"/>
          <w:lang w:val="en-US"/>
        </w:rPr>
      </w:pPr>
    </w:p>
  </w:endnote>
  <w:endnote w:id="18">
    <w:p w14:paraId="49EAFEA3" w14:textId="77777777" w:rsidR="00FD6E8B" w:rsidRPr="00F20574" w:rsidRDefault="00FD6E8B" w:rsidP="007F72E3">
      <w:pPr>
        <w:spacing w:line="276" w:lineRule="auto"/>
        <w:rPr>
          <w:rFonts w:ascii="Times New Roman" w:hAnsi="Times New Roman"/>
          <w:lang w:val="es-ES_tradnl"/>
        </w:rPr>
      </w:pPr>
      <w:r w:rsidRPr="00F20574">
        <w:rPr>
          <w:rStyle w:val="Refdenotaalfinal"/>
          <w:rFonts w:ascii="Times New Roman" w:hAnsi="Times New Roman"/>
        </w:rPr>
        <w:endnoteRef/>
      </w:r>
      <w:r w:rsidRPr="00F20574">
        <w:rPr>
          <w:rFonts w:ascii="Times New Roman" w:hAnsi="Times New Roman"/>
          <w:lang w:val="en-US"/>
        </w:rPr>
        <w:t xml:space="preserve"> Pearce N, </w:t>
      </w:r>
      <w:proofErr w:type="spellStart"/>
      <w:r w:rsidRPr="00F20574">
        <w:rPr>
          <w:rFonts w:ascii="Times New Roman" w:hAnsi="Times New Roman"/>
          <w:lang w:val="en-US"/>
        </w:rPr>
        <w:t>Caplin</w:t>
      </w:r>
      <w:proofErr w:type="spellEnd"/>
      <w:r w:rsidRPr="00F20574">
        <w:rPr>
          <w:rFonts w:ascii="Times New Roman" w:hAnsi="Times New Roman"/>
          <w:lang w:val="en-US"/>
        </w:rPr>
        <w:t xml:space="preserve"> B. Let's take the heat out of the </w:t>
      </w:r>
      <w:proofErr w:type="spellStart"/>
      <w:r w:rsidRPr="00F20574">
        <w:rPr>
          <w:rFonts w:ascii="Times New Roman" w:hAnsi="Times New Roman"/>
          <w:lang w:val="en-US"/>
        </w:rPr>
        <w:t>CKDu</w:t>
      </w:r>
      <w:proofErr w:type="spellEnd"/>
      <w:r w:rsidRPr="00F20574">
        <w:rPr>
          <w:rFonts w:ascii="Times New Roman" w:hAnsi="Times New Roman"/>
          <w:lang w:val="en-US"/>
        </w:rPr>
        <w:t xml:space="preserve"> debate: more evidence is needed. </w:t>
      </w:r>
      <w:proofErr w:type="spellStart"/>
      <w:r w:rsidRPr="00F20574">
        <w:rPr>
          <w:rFonts w:ascii="Times New Roman" w:hAnsi="Times New Roman"/>
          <w:lang w:val="es-ES_tradnl"/>
        </w:rPr>
        <w:t>Occup</w:t>
      </w:r>
      <w:proofErr w:type="spellEnd"/>
      <w:r w:rsidRPr="00F20574">
        <w:rPr>
          <w:rFonts w:ascii="Times New Roman" w:hAnsi="Times New Roman"/>
          <w:lang w:val="es-ES_tradnl"/>
        </w:rPr>
        <w:t xml:space="preserve"> </w:t>
      </w:r>
      <w:proofErr w:type="spellStart"/>
      <w:r w:rsidRPr="00F20574">
        <w:rPr>
          <w:rFonts w:ascii="Times New Roman" w:hAnsi="Times New Roman"/>
          <w:lang w:val="es-ES_tradnl"/>
        </w:rPr>
        <w:t>Environ</w:t>
      </w:r>
      <w:proofErr w:type="spellEnd"/>
      <w:r w:rsidRPr="00F20574">
        <w:rPr>
          <w:rFonts w:ascii="Times New Roman" w:hAnsi="Times New Roman"/>
          <w:lang w:val="es-ES_tradnl"/>
        </w:rPr>
        <w:t xml:space="preserve"> </w:t>
      </w:r>
      <w:proofErr w:type="spellStart"/>
      <w:r w:rsidRPr="00F20574">
        <w:rPr>
          <w:rFonts w:ascii="Times New Roman" w:hAnsi="Times New Roman"/>
          <w:lang w:val="es-ES_tradnl"/>
        </w:rPr>
        <w:t>Med</w:t>
      </w:r>
      <w:proofErr w:type="spellEnd"/>
      <w:r w:rsidRPr="00F20574">
        <w:rPr>
          <w:rFonts w:ascii="Times New Roman" w:hAnsi="Times New Roman"/>
          <w:lang w:val="es-ES_tradnl"/>
        </w:rPr>
        <w:t>. 2019;76(6):357–359.</w:t>
      </w:r>
    </w:p>
  </w:endnote>
  <w:endnote w:id="19">
    <w:p w14:paraId="1A1AECD9" w14:textId="77777777" w:rsidR="00FD6E8B" w:rsidRPr="004F3E63" w:rsidRDefault="00FD6E8B" w:rsidP="007F72E3">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sidRPr="00F20574">
        <w:rPr>
          <w:rFonts w:ascii="Times New Roman" w:hAnsi="Times New Roman"/>
          <w:sz w:val="22"/>
          <w:szCs w:val="22"/>
        </w:rPr>
        <w:t xml:space="preserve"> Orantes CM, Herrera R, Almaguer M, Brizuela EG, Alvarado NP, E, Fuentes J, et al. </w:t>
      </w:r>
      <w:r w:rsidRPr="00F20574">
        <w:rPr>
          <w:rFonts w:ascii="Times New Roman" w:hAnsi="Times New Roman"/>
          <w:sz w:val="22"/>
          <w:szCs w:val="22"/>
          <w:lang w:val="en-US"/>
        </w:rPr>
        <w:t xml:space="preserve">Chronic kidney disease in children and adolescents in Salvadorian farming communities: </w:t>
      </w:r>
      <w:proofErr w:type="spellStart"/>
      <w:r w:rsidRPr="00F20574">
        <w:rPr>
          <w:rFonts w:ascii="Times New Roman" w:hAnsi="Times New Roman"/>
          <w:sz w:val="22"/>
          <w:szCs w:val="22"/>
          <w:lang w:val="en-US"/>
        </w:rPr>
        <w:t>Nefrosalva</w:t>
      </w:r>
      <w:proofErr w:type="spellEnd"/>
      <w:r w:rsidRPr="00F20574">
        <w:rPr>
          <w:rFonts w:ascii="Times New Roman" w:hAnsi="Times New Roman"/>
          <w:sz w:val="22"/>
          <w:szCs w:val="22"/>
          <w:lang w:val="en-US"/>
        </w:rPr>
        <w:t xml:space="preserve"> Pediatric Study (2009‒2011). </w:t>
      </w:r>
      <w:r w:rsidRPr="004F3E63">
        <w:rPr>
          <w:rFonts w:ascii="Times New Roman" w:hAnsi="Times New Roman"/>
          <w:sz w:val="22"/>
          <w:szCs w:val="22"/>
        </w:rPr>
        <w:t>MEDICC Rev. 2016; 18: 23‒30.</w:t>
      </w:r>
    </w:p>
    <w:p w14:paraId="15FD0505" w14:textId="77777777" w:rsidR="00FD6E8B" w:rsidRPr="004F3E63" w:rsidRDefault="00FD6E8B" w:rsidP="007F72E3">
      <w:pPr>
        <w:pStyle w:val="Textonotaalfinal"/>
        <w:jc w:val="left"/>
        <w:rPr>
          <w:rFonts w:ascii="Times New Roman" w:hAnsi="Times New Roman"/>
          <w:sz w:val="22"/>
          <w:szCs w:val="22"/>
        </w:rPr>
      </w:pPr>
    </w:p>
  </w:endnote>
  <w:endnote w:id="20">
    <w:p w14:paraId="26B64F89" w14:textId="77777777" w:rsidR="00FD6E8B" w:rsidRPr="003971BF" w:rsidRDefault="00FD6E8B" w:rsidP="007F72E3">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sidRPr="00F20574">
        <w:rPr>
          <w:rFonts w:ascii="Times New Roman" w:hAnsi="Times New Roman"/>
          <w:sz w:val="22"/>
          <w:szCs w:val="22"/>
        </w:rPr>
        <w:t xml:space="preserve"> Orantes CM, Herrera R, Almaguer M, Calero DJ, Fuentes J, Alvarado NP, et al. </w:t>
      </w:r>
      <w:r w:rsidRPr="00F20574">
        <w:rPr>
          <w:rFonts w:ascii="Times New Roman" w:hAnsi="Times New Roman"/>
          <w:sz w:val="22"/>
          <w:szCs w:val="22"/>
          <w:lang w:val="en-US"/>
        </w:rPr>
        <w:t xml:space="preserve">Epidemiological characteristic of chronic kidney disease of non-traditional causes in women of agricultural communities of El Salvador. </w:t>
      </w:r>
      <w:proofErr w:type="spellStart"/>
      <w:r w:rsidRPr="003971BF">
        <w:rPr>
          <w:rFonts w:ascii="Times New Roman" w:hAnsi="Times New Roman"/>
          <w:sz w:val="22"/>
          <w:szCs w:val="22"/>
        </w:rPr>
        <w:t>Clinical</w:t>
      </w:r>
      <w:proofErr w:type="spellEnd"/>
      <w:r w:rsidRPr="003971BF">
        <w:rPr>
          <w:rFonts w:ascii="Times New Roman" w:hAnsi="Times New Roman"/>
          <w:sz w:val="22"/>
          <w:szCs w:val="22"/>
        </w:rPr>
        <w:t xml:space="preserve"> </w:t>
      </w:r>
      <w:proofErr w:type="spellStart"/>
      <w:r w:rsidRPr="003971BF">
        <w:rPr>
          <w:rFonts w:ascii="Times New Roman" w:hAnsi="Times New Roman"/>
          <w:sz w:val="22"/>
          <w:szCs w:val="22"/>
        </w:rPr>
        <w:t>Nephrol</w:t>
      </w:r>
      <w:proofErr w:type="spellEnd"/>
      <w:r w:rsidRPr="003971BF">
        <w:rPr>
          <w:rFonts w:ascii="Times New Roman" w:hAnsi="Times New Roman"/>
          <w:sz w:val="22"/>
          <w:szCs w:val="22"/>
        </w:rPr>
        <w:t>. 2015;83 (</w:t>
      </w:r>
      <w:proofErr w:type="spellStart"/>
      <w:r w:rsidRPr="003971BF">
        <w:rPr>
          <w:rFonts w:ascii="Times New Roman" w:hAnsi="Times New Roman"/>
          <w:sz w:val="22"/>
          <w:szCs w:val="22"/>
        </w:rPr>
        <w:t>suppl</w:t>
      </w:r>
      <w:proofErr w:type="spellEnd"/>
      <w:r w:rsidRPr="003971BF">
        <w:rPr>
          <w:rFonts w:ascii="Times New Roman" w:hAnsi="Times New Roman"/>
          <w:sz w:val="22"/>
          <w:szCs w:val="22"/>
        </w:rPr>
        <w:t xml:space="preserve"> 1</w:t>
      </w:r>
      <w:proofErr w:type="gramStart"/>
      <w:r w:rsidRPr="003971BF">
        <w:rPr>
          <w:rFonts w:ascii="Times New Roman" w:hAnsi="Times New Roman"/>
          <w:sz w:val="22"/>
          <w:szCs w:val="22"/>
        </w:rPr>
        <w:t>):S</w:t>
      </w:r>
      <w:proofErr w:type="gramEnd"/>
      <w:r w:rsidRPr="003971BF">
        <w:rPr>
          <w:rFonts w:ascii="Times New Roman" w:hAnsi="Times New Roman"/>
          <w:sz w:val="22"/>
          <w:szCs w:val="22"/>
        </w:rPr>
        <w:t>24−S31.</w:t>
      </w:r>
    </w:p>
    <w:p w14:paraId="3B15EF85" w14:textId="77777777" w:rsidR="00FD6E8B" w:rsidRPr="003971BF" w:rsidRDefault="00FD6E8B" w:rsidP="007F72E3">
      <w:pPr>
        <w:pStyle w:val="Textonotaalfinal"/>
        <w:jc w:val="left"/>
        <w:rPr>
          <w:rFonts w:ascii="Times New Roman" w:hAnsi="Times New Roman"/>
          <w:sz w:val="22"/>
          <w:szCs w:val="22"/>
        </w:rPr>
      </w:pPr>
    </w:p>
  </w:endnote>
  <w:endnote w:id="21">
    <w:p w14:paraId="5392965C" w14:textId="77777777" w:rsidR="00FD6E8B" w:rsidRPr="00F20574" w:rsidRDefault="00FD6E8B" w:rsidP="007F72E3">
      <w:pPr>
        <w:autoSpaceDE w:val="0"/>
        <w:autoSpaceDN w:val="0"/>
        <w:adjustRightInd w:val="0"/>
        <w:spacing w:after="120" w:line="240" w:lineRule="auto"/>
        <w:rPr>
          <w:rFonts w:ascii="Times New Roman" w:hAnsi="Times New Roman"/>
          <w:color w:val="000000" w:themeColor="text1"/>
          <w:lang w:val="en-US"/>
        </w:rPr>
      </w:pPr>
      <w:r w:rsidRPr="00F20574">
        <w:rPr>
          <w:rStyle w:val="Refdenotaalfinal"/>
          <w:rFonts w:ascii="Times New Roman" w:hAnsi="Times New Roman"/>
          <w:lang w:val="es-ES_tradnl" w:eastAsia="es-ES_tradnl"/>
        </w:rPr>
        <w:endnoteRef/>
      </w:r>
      <w:r>
        <w:rPr>
          <w:rFonts w:ascii="Times New Roman" w:hAnsi="Times New Roman"/>
          <w:color w:val="000000" w:themeColor="text1"/>
          <w:lang w:val="es-ES_tradnl"/>
        </w:rPr>
        <w:t xml:space="preserve"> Gonzá</w:t>
      </w:r>
      <w:r w:rsidRPr="00F20574">
        <w:rPr>
          <w:rFonts w:ascii="Times New Roman" w:hAnsi="Times New Roman"/>
          <w:color w:val="000000" w:themeColor="text1"/>
          <w:lang w:val="es-ES_tradnl"/>
        </w:rPr>
        <w:t xml:space="preserve">lez M, </w:t>
      </w:r>
      <w:proofErr w:type="spellStart"/>
      <w:r w:rsidRPr="00F20574">
        <w:rPr>
          <w:rFonts w:ascii="Times New Roman" w:hAnsi="Times New Roman"/>
          <w:color w:val="000000" w:themeColor="text1"/>
          <w:lang w:val="es-ES_tradnl"/>
        </w:rPr>
        <w:t>Smpokou</w:t>
      </w:r>
      <w:proofErr w:type="spellEnd"/>
      <w:r w:rsidRPr="00F20574">
        <w:rPr>
          <w:rFonts w:ascii="Times New Roman" w:hAnsi="Times New Roman"/>
          <w:color w:val="000000" w:themeColor="text1"/>
          <w:lang w:val="es-ES_tradnl"/>
        </w:rPr>
        <w:t xml:space="preserve"> E, </w:t>
      </w:r>
      <w:proofErr w:type="spellStart"/>
      <w:r w:rsidRPr="00F20574">
        <w:rPr>
          <w:rFonts w:ascii="Times New Roman" w:hAnsi="Times New Roman"/>
          <w:color w:val="000000" w:themeColor="text1"/>
          <w:lang w:val="es-ES_tradnl"/>
        </w:rPr>
        <w:t>Silverwood</w:t>
      </w:r>
      <w:proofErr w:type="spellEnd"/>
      <w:r w:rsidRPr="00F20574">
        <w:rPr>
          <w:rFonts w:ascii="Times New Roman" w:hAnsi="Times New Roman"/>
          <w:color w:val="000000" w:themeColor="text1"/>
          <w:lang w:val="es-ES_tradnl"/>
        </w:rPr>
        <w:t xml:space="preserve"> RJ, Camacho A, Faber D, García BL, et al. </w:t>
      </w:r>
      <w:r w:rsidRPr="00F20574">
        <w:rPr>
          <w:rFonts w:ascii="Times New Roman" w:hAnsi="Times New Roman"/>
          <w:color w:val="000000" w:themeColor="text1"/>
          <w:lang w:val="en-US"/>
        </w:rPr>
        <w:t xml:space="preserve">Marked decline in kidney function amongst apparently healthy young adults at risk of Mesoamerican nephropathy. J Am </w:t>
      </w:r>
      <w:proofErr w:type="spellStart"/>
      <w:r w:rsidRPr="00F20574">
        <w:rPr>
          <w:rFonts w:ascii="Times New Roman" w:hAnsi="Times New Roman"/>
          <w:color w:val="000000" w:themeColor="text1"/>
          <w:lang w:val="en-US"/>
        </w:rPr>
        <w:t>Soc</w:t>
      </w:r>
      <w:proofErr w:type="spellEnd"/>
      <w:r w:rsidRPr="00F20574">
        <w:rPr>
          <w:rFonts w:ascii="Times New Roman" w:hAnsi="Times New Roman"/>
          <w:color w:val="000000" w:themeColor="text1"/>
          <w:lang w:val="en-US"/>
        </w:rPr>
        <w:t xml:space="preserve"> </w:t>
      </w:r>
      <w:proofErr w:type="spellStart"/>
      <w:r w:rsidRPr="00F20574">
        <w:rPr>
          <w:rFonts w:ascii="Times New Roman" w:hAnsi="Times New Roman"/>
          <w:color w:val="000000" w:themeColor="text1"/>
          <w:lang w:val="en-US"/>
        </w:rPr>
        <w:t>Nephrol</w:t>
      </w:r>
      <w:proofErr w:type="spellEnd"/>
      <w:r w:rsidRPr="00F20574">
        <w:rPr>
          <w:rFonts w:ascii="Times New Roman" w:hAnsi="Times New Roman"/>
          <w:color w:val="000000" w:themeColor="text1"/>
          <w:lang w:val="en-US"/>
        </w:rPr>
        <w:t>. 2018; 29: 2200–2212.</w:t>
      </w:r>
    </w:p>
    <w:p w14:paraId="399F277B" w14:textId="77777777" w:rsidR="00FD6E8B" w:rsidRPr="00F20574" w:rsidRDefault="00FD6E8B" w:rsidP="007F72E3">
      <w:pPr>
        <w:pStyle w:val="Textonotaalfinal"/>
        <w:jc w:val="left"/>
        <w:rPr>
          <w:rFonts w:ascii="Times New Roman" w:hAnsi="Times New Roman"/>
          <w:sz w:val="22"/>
          <w:szCs w:val="22"/>
          <w:lang w:val="en-US"/>
        </w:rPr>
      </w:pPr>
    </w:p>
  </w:endnote>
  <w:endnote w:id="22">
    <w:p w14:paraId="237DC597" w14:textId="77777777" w:rsidR="00FD6E8B" w:rsidRPr="00F20574" w:rsidRDefault="00FD6E8B" w:rsidP="007F72E3">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Lebov</w:t>
      </w:r>
      <w:proofErr w:type="spellEnd"/>
      <w:r w:rsidRPr="00F20574">
        <w:rPr>
          <w:rFonts w:ascii="Times New Roman" w:hAnsi="Times New Roman"/>
          <w:sz w:val="22"/>
          <w:szCs w:val="22"/>
          <w:lang w:val="en-US"/>
        </w:rPr>
        <w:t xml:space="preserve"> JF, Engel S, Richardson D, Hogan L, </w:t>
      </w:r>
      <w:proofErr w:type="spellStart"/>
      <w:r w:rsidRPr="00F20574">
        <w:rPr>
          <w:rFonts w:ascii="Times New Roman" w:hAnsi="Times New Roman"/>
          <w:sz w:val="22"/>
          <w:szCs w:val="22"/>
          <w:lang w:val="en-US"/>
        </w:rPr>
        <w:t>Hoppin</w:t>
      </w:r>
      <w:proofErr w:type="spellEnd"/>
      <w:r w:rsidRPr="00F20574">
        <w:rPr>
          <w:rFonts w:ascii="Times New Roman" w:hAnsi="Times New Roman"/>
          <w:sz w:val="22"/>
          <w:szCs w:val="22"/>
          <w:lang w:val="en-US"/>
        </w:rPr>
        <w:t xml:space="preserve"> J, Sandler DP. Pesticide use and risk of end-stage renal disease among licensed pesticide applicators in the Agricultural Health Study. </w:t>
      </w:r>
      <w:proofErr w:type="spellStart"/>
      <w:r w:rsidRPr="00F20574">
        <w:rPr>
          <w:rFonts w:ascii="Times New Roman" w:hAnsi="Times New Roman"/>
          <w:sz w:val="22"/>
          <w:szCs w:val="22"/>
          <w:lang w:val="en-US"/>
        </w:rPr>
        <w:t>Occup</w:t>
      </w:r>
      <w:proofErr w:type="spellEnd"/>
      <w:r w:rsidRPr="00F20574">
        <w:rPr>
          <w:rFonts w:ascii="Times New Roman" w:hAnsi="Times New Roman"/>
          <w:sz w:val="22"/>
          <w:szCs w:val="22"/>
          <w:lang w:val="en-US"/>
        </w:rPr>
        <w:t xml:space="preserve"> &amp; </w:t>
      </w:r>
      <w:proofErr w:type="spellStart"/>
      <w:r w:rsidRPr="00F20574">
        <w:rPr>
          <w:rFonts w:ascii="Times New Roman" w:hAnsi="Times New Roman"/>
          <w:sz w:val="22"/>
          <w:szCs w:val="22"/>
          <w:lang w:val="en-US"/>
        </w:rPr>
        <w:t>Environm</w:t>
      </w:r>
      <w:proofErr w:type="spellEnd"/>
      <w:r w:rsidRPr="00F20574">
        <w:rPr>
          <w:rFonts w:ascii="Times New Roman" w:hAnsi="Times New Roman"/>
          <w:sz w:val="22"/>
          <w:szCs w:val="22"/>
          <w:lang w:val="en-US"/>
        </w:rPr>
        <w:t xml:space="preserve"> Med. 2016;73(1):3‒12.</w:t>
      </w:r>
    </w:p>
    <w:p w14:paraId="2B11ECC0" w14:textId="77777777" w:rsidR="00FD6E8B" w:rsidRPr="00F20574" w:rsidRDefault="00FD6E8B" w:rsidP="007F72E3">
      <w:pPr>
        <w:pStyle w:val="Textonotaalfinal"/>
        <w:jc w:val="left"/>
        <w:rPr>
          <w:rFonts w:ascii="Times New Roman" w:hAnsi="Times New Roman"/>
          <w:sz w:val="22"/>
          <w:szCs w:val="22"/>
          <w:lang w:val="en-US"/>
        </w:rPr>
      </w:pPr>
    </w:p>
  </w:endnote>
  <w:endnote w:id="23">
    <w:p w14:paraId="0EB87CDC" w14:textId="77777777" w:rsidR="00FD6E8B" w:rsidRPr="00B40707" w:rsidRDefault="00FD6E8B" w:rsidP="0072669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Clark WF, </w:t>
      </w:r>
      <w:proofErr w:type="spellStart"/>
      <w:r w:rsidRPr="00F20574">
        <w:rPr>
          <w:rFonts w:ascii="Times New Roman" w:hAnsi="Times New Roman"/>
          <w:sz w:val="22"/>
          <w:szCs w:val="22"/>
          <w:lang w:val="en-US"/>
        </w:rPr>
        <w:t>Sontrop</w:t>
      </w:r>
      <w:proofErr w:type="spellEnd"/>
      <w:r w:rsidRPr="00F20574">
        <w:rPr>
          <w:rFonts w:ascii="Times New Roman" w:hAnsi="Times New Roman"/>
          <w:sz w:val="22"/>
          <w:szCs w:val="22"/>
          <w:lang w:val="en-US"/>
        </w:rPr>
        <w:t xml:space="preserve"> JM, Huang SH, Moist L, </w:t>
      </w:r>
      <w:proofErr w:type="spellStart"/>
      <w:r w:rsidRPr="00F20574">
        <w:rPr>
          <w:rFonts w:ascii="Times New Roman" w:hAnsi="Times New Roman"/>
          <w:sz w:val="22"/>
          <w:szCs w:val="22"/>
          <w:lang w:val="en-US"/>
        </w:rPr>
        <w:t>Bouby</w:t>
      </w:r>
      <w:proofErr w:type="spellEnd"/>
      <w:r w:rsidRPr="00F20574">
        <w:rPr>
          <w:rFonts w:ascii="Times New Roman" w:hAnsi="Times New Roman"/>
          <w:sz w:val="22"/>
          <w:szCs w:val="22"/>
          <w:lang w:val="en-US"/>
        </w:rPr>
        <w:t xml:space="preserve"> N, </w:t>
      </w:r>
      <w:proofErr w:type="spellStart"/>
      <w:r w:rsidRPr="00F20574">
        <w:rPr>
          <w:rFonts w:ascii="Times New Roman" w:hAnsi="Times New Roman"/>
          <w:sz w:val="22"/>
          <w:szCs w:val="22"/>
          <w:lang w:val="en-US"/>
        </w:rPr>
        <w:t>Bankir</w:t>
      </w:r>
      <w:proofErr w:type="spellEnd"/>
      <w:r w:rsidRPr="00F20574">
        <w:rPr>
          <w:rFonts w:ascii="Times New Roman" w:hAnsi="Times New Roman"/>
          <w:sz w:val="22"/>
          <w:szCs w:val="22"/>
          <w:lang w:val="en-US"/>
        </w:rPr>
        <w:t xml:space="preserve"> L. Hydration and Chronic Kidney Disease progression: A critical review of the evidence. </w:t>
      </w:r>
      <w:r w:rsidRPr="00B40707">
        <w:rPr>
          <w:rFonts w:ascii="Times New Roman" w:hAnsi="Times New Roman"/>
          <w:sz w:val="22"/>
          <w:szCs w:val="22"/>
          <w:lang w:val="en-US"/>
        </w:rPr>
        <w:t xml:space="preserve">Am J </w:t>
      </w:r>
      <w:proofErr w:type="spellStart"/>
      <w:r w:rsidRPr="00B40707">
        <w:rPr>
          <w:rFonts w:ascii="Times New Roman" w:hAnsi="Times New Roman"/>
          <w:sz w:val="22"/>
          <w:szCs w:val="22"/>
          <w:lang w:val="en-US"/>
        </w:rPr>
        <w:t>Nephrol</w:t>
      </w:r>
      <w:proofErr w:type="spellEnd"/>
      <w:r w:rsidRPr="00B40707">
        <w:rPr>
          <w:rFonts w:ascii="Times New Roman" w:hAnsi="Times New Roman"/>
          <w:sz w:val="22"/>
          <w:szCs w:val="22"/>
          <w:lang w:val="en-US"/>
        </w:rPr>
        <w:t xml:space="preserve">. 2016; 43(4):281-92. </w:t>
      </w:r>
    </w:p>
    <w:p w14:paraId="569AC6FB" w14:textId="77777777" w:rsidR="00FD6E8B" w:rsidRPr="00B40707" w:rsidRDefault="00FD6E8B" w:rsidP="00726699">
      <w:pPr>
        <w:pStyle w:val="Textonotaalfinal"/>
        <w:jc w:val="left"/>
        <w:rPr>
          <w:rFonts w:ascii="Times New Roman" w:hAnsi="Times New Roman"/>
          <w:sz w:val="22"/>
          <w:szCs w:val="22"/>
          <w:lang w:val="en-US"/>
        </w:rPr>
      </w:pPr>
    </w:p>
  </w:endnote>
  <w:endnote w:id="24">
    <w:p w14:paraId="5154131D" w14:textId="77777777" w:rsidR="00FD6E8B" w:rsidRPr="00F20574" w:rsidRDefault="00FD6E8B" w:rsidP="0072669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Roncal</w:t>
      </w:r>
      <w:proofErr w:type="spellEnd"/>
      <w:r w:rsidRPr="00F20574">
        <w:rPr>
          <w:rFonts w:ascii="Times New Roman" w:hAnsi="Times New Roman"/>
          <w:sz w:val="22"/>
          <w:szCs w:val="22"/>
          <w:lang w:val="en-US"/>
        </w:rPr>
        <w:t xml:space="preserve"> C, </w:t>
      </w:r>
      <w:proofErr w:type="spellStart"/>
      <w:r w:rsidRPr="00F20574">
        <w:rPr>
          <w:rFonts w:ascii="Times New Roman" w:hAnsi="Times New Roman"/>
          <w:sz w:val="22"/>
          <w:szCs w:val="22"/>
          <w:lang w:val="en-US"/>
        </w:rPr>
        <w:t>Lanaspa</w:t>
      </w:r>
      <w:proofErr w:type="spellEnd"/>
      <w:r w:rsidRPr="00F20574">
        <w:rPr>
          <w:rFonts w:ascii="Times New Roman" w:hAnsi="Times New Roman"/>
          <w:sz w:val="22"/>
          <w:szCs w:val="22"/>
          <w:lang w:val="en-US"/>
        </w:rPr>
        <w:t xml:space="preserve"> MA, Jensen T, Sanchez LG, Johnson RJ. Mechanisms by which dehydration may lead to Chronic Kidney Disease. Annals of Nutrition and Metabolism. 2015; 66(</w:t>
      </w:r>
      <w:proofErr w:type="spellStart"/>
      <w:r w:rsidRPr="00F20574">
        <w:rPr>
          <w:rFonts w:ascii="Times New Roman" w:hAnsi="Times New Roman"/>
          <w:sz w:val="22"/>
          <w:szCs w:val="22"/>
          <w:lang w:val="en-US"/>
        </w:rPr>
        <w:t>Suppl</w:t>
      </w:r>
      <w:proofErr w:type="spellEnd"/>
      <w:r w:rsidRPr="00F20574">
        <w:rPr>
          <w:rFonts w:ascii="Times New Roman" w:hAnsi="Times New Roman"/>
          <w:sz w:val="22"/>
          <w:szCs w:val="22"/>
          <w:lang w:val="en-US"/>
        </w:rPr>
        <w:t xml:space="preserve"> 3): 10-13.</w:t>
      </w:r>
    </w:p>
    <w:p w14:paraId="216E0E49" w14:textId="77777777" w:rsidR="00FD6E8B" w:rsidRPr="00F20574" w:rsidRDefault="00FD6E8B" w:rsidP="00726699">
      <w:pPr>
        <w:pStyle w:val="Textonotaalfinal"/>
        <w:jc w:val="left"/>
        <w:rPr>
          <w:rFonts w:ascii="Times New Roman" w:hAnsi="Times New Roman"/>
          <w:sz w:val="22"/>
          <w:szCs w:val="22"/>
          <w:lang w:val="en-US"/>
        </w:rPr>
      </w:pPr>
    </w:p>
  </w:endnote>
  <w:endnote w:id="25">
    <w:p w14:paraId="615EC281" w14:textId="77777777" w:rsidR="00FD6E8B" w:rsidRPr="00F20574" w:rsidRDefault="00FD6E8B" w:rsidP="00E97D0E">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Bonventre, JV. Mediators of ischemic renal injury. </w:t>
      </w:r>
      <w:proofErr w:type="spellStart"/>
      <w:proofErr w:type="gramStart"/>
      <w:r w:rsidRPr="00F20574">
        <w:rPr>
          <w:rFonts w:ascii="Times New Roman" w:hAnsi="Times New Roman"/>
          <w:sz w:val="22"/>
          <w:szCs w:val="22"/>
        </w:rPr>
        <w:t>Annu.Rev.Med</w:t>
      </w:r>
      <w:proofErr w:type="spellEnd"/>
      <w:proofErr w:type="gramEnd"/>
      <w:r w:rsidRPr="00F20574">
        <w:rPr>
          <w:rFonts w:ascii="Times New Roman" w:hAnsi="Times New Roman"/>
          <w:sz w:val="22"/>
          <w:szCs w:val="22"/>
        </w:rPr>
        <w:t>. 1988; 39:531–544.</w:t>
      </w:r>
    </w:p>
    <w:p w14:paraId="0B58BA3D" w14:textId="77777777" w:rsidR="00FD6E8B" w:rsidRPr="00F20574" w:rsidRDefault="00FD6E8B" w:rsidP="00E97D0E">
      <w:pPr>
        <w:pStyle w:val="Textonotaalfinal"/>
        <w:jc w:val="left"/>
        <w:rPr>
          <w:rFonts w:ascii="Times New Roman" w:hAnsi="Times New Roman"/>
          <w:sz w:val="22"/>
          <w:szCs w:val="22"/>
        </w:rPr>
      </w:pPr>
    </w:p>
  </w:endnote>
  <w:endnote w:id="26">
    <w:p w14:paraId="07C21F26" w14:textId="77777777" w:rsidR="00FD6E8B" w:rsidRPr="00F20574" w:rsidRDefault="00FD6E8B" w:rsidP="0036632E">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E97D0E">
        <w:rPr>
          <w:rFonts w:ascii="Times New Roman" w:hAnsi="Times New Roman"/>
          <w:sz w:val="22"/>
          <w:szCs w:val="22"/>
          <w:lang w:val="es-ES"/>
        </w:rPr>
        <w:t xml:space="preserve"> Orantes CM, Herrera R, Almaguer M, López L, Vela XF, Hernández M, et al. </w:t>
      </w:r>
      <w:r w:rsidRPr="00F20574">
        <w:rPr>
          <w:rFonts w:ascii="Times New Roman" w:hAnsi="Times New Roman"/>
          <w:sz w:val="22"/>
          <w:szCs w:val="22"/>
          <w:lang w:val="en-US"/>
        </w:rPr>
        <w:t xml:space="preserve">Toward comprehensive hypothesis of chronic interstitial nephritis in agricultural communities. </w:t>
      </w:r>
      <w:proofErr w:type="spellStart"/>
      <w:r w:rsidRPr="00F20574">
        <w:rPr>
          <w:rFonts w:ascii="Times New Roman" w:hAnsi="Times New Roman"/>
          <w:sz w:val="22"/>
          <w:szCs w:val="22"/>
          <w:lang w:val="en-US"/>
        </w:rPr>
        <w:t>Adv</w:t>
      </w:r>
      <w:proofErr w:type="spellEnd"/>
      <w:r w:rsidRPr="00F20574">
        <w:rPr>
          <w:rFonts w:ascii="Times New Roman" w:hAnsi="Times New Roman"/>
          <w:sz w:val="22"/>
          <w:szCs w:val="22"/>
          <w:lang w:val="en-US"/>
        </w:rPr>
        <w:t xml:space="preserve"> Chronic Kidney Dis. 2017; 24(2):101-106</w:t>
      </w:r>
    </w:p>
    <w:p w14:paraId="3D31A057" w14:textId="77777777" w:rsidR="00FD6E8B" w:rsidRPr="00F20574" w:rsidRDefault="00FD6E8B" w:rsidP="0036632E">
      <w:pPr>
        <w:pStyle w:val="Textonotaalfinal"/>
        <w:jc w:val="left"/>
        <w:rPr>
          <w:rFonts w:ascii="Times New Roman" w:hAnsi="Times New Roman"/>
          <w:sz w:val="22"/>
          <w:szCs w:val="22"/>
          <w:lang w:val="en-US"/>
        </w:rPr>
      </w:pPr>
    </w:p>
  </w:endnote>
  <w:endnote w:id="27">
    <w:p w14:paraId="1ECF4A68" w14:textId="77777777" w:rsidR="00FD6E8B" w:rsidRPr="00F20574" w:rsidRDefault="00FD6E8B" w:rsidP="0036632E">
      <w:pPr>
        <w:shd w:val="clear" w:color="auto" w:fill="FFFFFF"/>
        <w:spacing w:after="0" w:line="240" w:lineRule="auto"/>
        <w:rPr>
          <w:rFonts w:ascii="Times New Roman" w:hAnsi="Times New Roman"/>
          <w:color w:val="000000"/>
          <w:lang w:val="en-US"/>
        </w:rPr>
      </w:pPr>
      <w:r w:rsidRPr="00F20574">
        <w:rPr>
          <w:rStyle w:val="Refdenotaalfinal"/>
          <w:rFonts w:ascii="Times New Roman" w:hAnsi="Times New Roman"/>
        </w:rPr>
        <w:endnoteRef/>
      </w:r>
      <w:r>
        <w:rPr>
          <w:rFonts w:ascii="Times New Roman" w:hAnsi="Times New Roman"/>
          <w:color w:val="000000"/>
          <w:lang w:val="en-US"/>
        </w:rPr>
        <w:t xml:space="preserve"> </w:t>
      </w:r>
      <w:proofErr w:type="spellStart"/>
      <w:r w:rsidRPr="00F20574">
        <w:rPr>
          <w:rFonts w:ascii="Times New Roman" w:hAnsi="Times New Roman"/>
          <w:color w:val="000000"/>
          <w:lang w:val="en-US"/>
        </w:rPr>
        <w:t>Bandarage</w:t>
      </w:r>
      <w:proofErr w:type="spellEnd"/>
      <w:r w:rsidRPr="00F20574">
        <w:rPr>
          <w:rFonts w:ascii="Times New Roman" w:hAnsi="Times New Roman"/>
          <w:color w:val="000000"/>
          <w:lang w:val="en-US"/>
        </w:rPr>
        <w:t xml:space="preserve"> A. Political economy of epidemic kidney disease in Sri Lanka. SAGE Open. 2013; 3(4), 1–13. </w:t>
      </w:r>
    </w:p>
    <w:p w14:paraId="11664962" w14:textId="77777777" w:rsidR="00FD6E8B" w:rsidRPr="00F20574" w:rsidRDefault="00FD6E8B" w:rsidP="0036632E">
      <w:pPr>
        <w:shd w:val="clear" w:color="auto" w:fill="FFFFFF"/>
        <w:spacing w:after="0" w:line="240" w:lineRule="auto"/>
        <w:rPr>
          <w:rFonts w:ascii="Times New Roman" w:hAnsi="Times New Roman"/>
          <w:highlight w:val="green"/>
          <w:lang w:val="en-US"/>
        </w:rPr>
      </w:pPr>
    </w:p>
  </w:endnote>
  <w:endnote w:id="28">
    <w:p w14:paraId="4ECF5E12" w14:textId="77777777" w:rsidR="00FD6E8B" w:rsidRDefault="00FD6E8B" w:rsidP="00B75F7B">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Pearce N, </w:t>
      </w:r>
      <w:proofErr w:type="spellStart"/>
      <w:r w:rsidRPr="00F20574">
        <w:rPr>
          <w:rFonts w:ascii="Times New Roman" w:hAnsi="Times New Roman"/>
          <w:sz w:val="22"/>
          <w:szCs w:val="22"/>
          <w:lang w:val="en-US"/>
        </w:rPr>
        <w:t>Caplin</w:t>
      </w:r>
      <w:proofErr w:type="spellEnd"/>
      <w:r w:rsidRPr="00F20574">
        <w:rPr>
          <w:rFonts w:ascii="Times New Roman" w:hAnsi="Times New Roman"/>
          <w:sz w:val="22"/>
          <w:szCs w:val="22"/>
          <w:lang w:val="en-US"/>
        </w:rPr>
        <w:t xml:space="preserve"> B, </w:t>
      </w:r>
      <w:proofErr w:type="spellStart"/>
      <w:r w:rsidRPr="00F20574">
        <w:rPr>
          <w:rFonts w:ascii="Times New Roman" w:hAnsi="Times New Roman"/>
          <w:sz w:val="22"/>
          <w:szCs w:val="22"/>
          <w:lang w:val="en-US"/>
        </w:rPr>
        <w:t>Gunawardena</w:t>
      </w:r>
      <w:proofErr w:type="spellEnd"/>
      <w:r w:rsidRPr="00F20574">
        <w:rPr>
          <w:rFonts w:ascii="Times New Roman" w:hAnsi="Times New Roman"/>
          <w:sz w:val="22"/>
          <w:szCs w:val="22"/>
          <w:lang w:val="en-US"/>
        </w:rPr>
        <w:t xml:space="preserve"> N, Kaur P, O’Callaghan C, </w:t>
      </w:r>
      <w:proofErr w:type="spellStart"/>
      <w:r w:rsidRPr="00F20574">
        <w:rPr>
          <w:rFonts w:ascii="Times New Roman" w:hAnsi="Times New Roman"/>
          <w:sz w:val="22"/>
          <w:szCs w:val="22"/>
          <w:lang w:val="en-US"/>
        </w:rPr>
        <w:t>Ruwampathirana</w:t>
      </w:r>
      <w:proofErr w:type="spellEnd"/>
      <w:r w:rsidRPr="00F20574">
        <w:rPr>
          <w:rFonts w:ascii="Times New Roman" w:hAnsi="Times New Roman"/>
          <w:sz w:val="22"/>
          <w:szCs w:val="22"/>
          <w:lang w:val="en-US"/>
        </w:rPr>
        <w:t xml:space="preserve"> T. CKD of Unknown Cause: A Global Epidemic? Kidney </w:t>
      </w:r>
      <w:proofErr w:type="spellStart"/>
      <w:r w:rsidRPr="00F20574">
        <w:rPr>
          <w:rFonts w:ascii="Times New Roman" w:hAnsi="Times New Roman"/>
          <w:sz w:val="22"/>
          <w:szCs w:val="22"/>
          <w:lang w:val="en-US"/>
        </w:rPr>
        <w:t>Int</w:t>
      </w:r>
      <w:proofErr w:type="spellEnd"/>
      <w:r w:rsidRPr="00F20574">
        <w:rPr>
          <w:rFonts w:ascii="Times New Roman" w:hAnsi="Times New Roman"/>
          <w:sz w:val="22"/>
          <w:szCs w:val="22"/>
          <w:lang w:val="en-US"/>
        </w:rPr>
        <w:t xml:space="preserve"> Rep. 2018 Dec 3;4(3):367-369</w:t>
      </w:r>
      <w:r>
        <w:rPr>
          <w:rFonts w:ascii="Times New Roman" w:hAnsi="Times New Roman"/>
          <w:sz w:val="22"/>
          <w:szCs w:val="22"/>
          <w:lang w:val="en-US"/>
        </w:rPr>
        <w:t>.</w:t>
      </w:r>
    </w:p>
    <w:p w14:paraId="0458C21E" w14:textId="77777777" w:rsidR="00FD6E8B" w:rsidRPr="00F20574" w:rsidRDefault="00FD6E8B" w:rsidP="00B75F7B">
      <w:pPr>
        <w:pStyle w:val="Textonotaalfinal"/>
        <w:jc w:val="left"/>
        <w:rPr>
          <w:rFonts w:ascii="Times New Roman" w:hAnsi="Times New Roman"/>
          <w:sz w:val="22"/>
          <w:szCs w:val="22"/>
          <w:lang w:val="en-US"/>
        </w:rPr>
      </w:pPr>
    </w:p>
  </w:endnote>
  <w:endnote w:id="29">
    <w:p w14:paraId="2C1CD356" w14:textId="77777777" w:rsidR="00FD6E8B" w:rsidRPr="00F20574" w:rsidRDefault="00FD6E8B" w:rsidP="00B75F7B">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Wrigth</w:t>
      </w:r>
      <w:proofErr w:type="spellEnd"/>
      <w:r w:rsidRPr="00F20574">
        <w:rPr>
          <w:rFonts w:ascii="Times New Roman" w:hAnsi="Times New Roman"/>
          <w:sz w:val="22"/>
          <w:szCs w:val="22"/>
          <w:lang w:val="en-US"/>
        </w:rPr>
        <w:t xml:space="preserve"> EM. Researcher´s perceived challenges in studying Chronic Kidney Disease of Nontraditional Etiology in Mesoamerica. MEDICC Rev. 2018 Jul; 20(3): 45-51.</w:t>
      </w:r>
    </w:p>
    <w:p w14:paraId="68E44728" w14:textId="77777777" w:rsidR="00FD6E8B" w:rsidRPr="00F20574" w:rsidRDefault="00FD6E8B" w:rsidP="00B75F7B">
      <w:pPr>
        <w:pStyle w:val="Textonotaalfinal"/>
        <w:jc w:val="left"/>
        <w:rPr>
          <w:rFonts w:ascii="Times New Roman" w:hAnsi="Times New Roman"/>
          <w:sz w:val="22"/>
          <w:szCs w:val="22"/>
          <w:lang w:val="en-US"/>
        </w:rPr>
      </w:pPr>
    </w:p>
  </w:endnote>
  <w:endnote w:id="30">
    <w:p w14:paraId="188ABD39" w14:textId="77777777" w:rsidR="00FD6E8B" w:rsidRPr="00F20574" w:rsidRDefault="00FD6E8B" w:rsidP="00B75F7B">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González M, Pearce N, </w:t>
      </w:r>
      <w:proofErr w:type="spellStart"/>
      <w:r w:rsidRPr="00F20574">
        <w:rPr>
          <w:rFonts w:ascii="Times New Roman" w:hAnsi="Times New Roman"/>
          <w:sz w:val="22"/>
          <w:szCs w:val="22"/>
          <w:lang w:val="en-US"/>
        </w:rPr>
        <w:t>Caplin</w:t>
      </w:r>
      <w:proofErr w:type="spellEnd"/>
      <w:r w:rsidRPr="00F20574">
        <w:rPr>
          <w:rFonts w:ascii="Times New Roman" w:hAnsi="Times New Roman"/>
          <w:sz w:val="22"/>
          <w:szCs w:val="22"/>
          <w:lang w:val="en-US"/>
        </w:rPr>
        <w:t xml:space="preserve"> B, </w:t>
      </w:r>
      <w:proofErr w:type="spellStart"/>
      <w:r w:rsidRPr="00F20574">
        <w:rPr>
          <w:rFonts w:ascii="Times New Roman" w:hAnsi="Times New Roman"/>
          <w:sz w:val="22"/>
          <w:szCs w:val="22"/>
          <w:lang w:val="en-US"/>
        </w:rPr>
        <w:t>Nitsch</w:t>
      </w:r>
      <w:proofErr w:type="spellEnd"/>
      <w:r w:rsidRPr="00F20574">
        <w:rPr>
          <w:rFonts w:ascii="Times New Roman" w:hAnsi="Times New Roman"/>
          <w:sz w:val="22"/>
          <w:szCs w:val="22"/>
          <w:lang w:val="en-US"/>
        </w:rPr>
        <w:t xml:space="preserve"> D. What do epidemiological studies tell us about chronic kidney disease of undetermined cause in </w:t>
      </w:r>
      <w:proofErr w:type="spellStart"/>
      <w:r w:rsidRPr="00F20574">
        <w:rPr>
          <w:rFonts w:ascii="Times New Roman" w:hAnsi="Times New Roman"/>
          <w:sz w:val="22"/>
          <w:szCs w:val="22"/>
          <w:lang w:val="en-US"/>
        </w:rPr>
        <w:t>Meso</w:t>
      </w:r>
      <w:proofErr w:type="spellEnd"/>
      <w:r w:rsidRPr="00F20574">
        <w:rPr>
          <w:rFonts w:ascii="Times New Roman" w:hAnsi="Times New Roman"/>
          <w:sz w:val="22"/>
          <w:szCs w:val="22"/>
          <w:lang w:val="en-US"/>
        </w:rPr>
        <w:t xml:space="preserve">-America? A systematic review and meta-analysis. </w:t>
      </w:r>
      <w:proofErr w:type="spellStart"/>
      <w:r w:rsidRPr="00F20574">
        <w:rPr>
          <w:rFonts w:ascii="Times New Roman" w:hAnsi="Times New Roman"/>
          <w:sz w:val="22"/>
          <w:szCs w:val="22"/>
          <w:lang w:val="en-US"/>
        </w:rPr>
        <w:t>Clin</w:t>
      </w:r>
      <w:proofErr w:type="spellEnd"/>
      <w:r w:rsidRPr="00F20574">
        <w:rPr>
          <w:rFonts w:ascii="Times New Roman" w:hAnsi="Times New Roman"/>
          <w:sz w:val="22"/>
          <w:szCs w:val="22"/>
          <w:lang w:val="en-US"/>
        </w:rPr>
        <w:t xml:space="preserve"> Kidney J. 2018;11(4):496–506. </w:t>
      </w:r>
    </w:p>
    <w:p w14:paraId="1D89F892" w14:textId="77777777" w:rsidR="00FD6E8B" w:rsidRPr="00F20574" w:rsidRDefault="00FD6E8B" w:rsidP="00B75F7B">
      <w:pPr>
        <w:pStyle w:val="Textonotaalfinal"/>
        <w:jc w:val="left"/>
        <w:rPr>
          <w:rFonts w:ascii="Times New Roman" w:hAnsi="Times New Roman"/>
          <w:sz w:val="22"/>
          <w:szCs w:val="22"/>
          <w:lang w:val="en-US"/>
        </w:rPr>
      </w:pPr>
    </w:p>
  </w:endnote>
  <w:endnote w:id="31">
    <w:p w14:paraId="6CFDC589" w14:textId="77777777" w:rsidR="00FD6E8B" w:rsidRPr="00F20574" w:rsidRDefault="00FD6E8B" w:rsidP="002D08CF">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B40707">
        <w:rPr>
          <w:rFonts w:ascii="Times New Roman" w:hAnsi="Times New Roman"/>
          <w:sz w:val="22"/>
          <w:szCs w:val="22"/>
          <w:lang w:val="en-US"/>
        </w:rPr>
        <w:t xml:space="preserve"> </w:t>
      </w:r>
      <w:proofErr w:type="spellStart"/>
      <w:r w:rsidRPr="00B40707">
        <w:rPr>
          <w:rFonts w:ascii="Times New Roman" w:hAnsi="Times New Roman"/>
          <w:sz w:val="22"/>
          <w:szCs w:val="22"/>
          <w:lang w:val="en-US"/>
        </w:rPr>
        <w:t>Tatapudi</w:t>
      </w:r>
      <w:proofErr w:type="spellEnd"/>
      <w:r w:rsidRPr="00B40707">
        <w:rPr>
          <w:rFonts w:ascii="Times New Roman" w:hAnsi="Times New Roman"/>
          <w:sz w:val="22"/>
          <w:szCs w:val="22"/>
          <w:lang w:val="en-US"/>
        </w:rPr>
        <w:t xml:space="preserve"> RR, </w:t>
      </w:r>
      <w:proofErr w:type="spellStart"/>
      <w:r w:rsidRPr="00B40707">
        <w:rPr>
          <w:rFonts w:ascii="Times New Roman" w:hAnsi="Times New Roman"/>
          <w:sz w:val="22"/>
          <w:szCs w:val="22"/>
          <w:lang w:val="en-US"/>
        </w:rPr>
        <w:t>Rentala</w:t>
      </w:r>
      <w:proofErr w:type="spellEnd"/>
      <w:r w:rsidRPr="00B40707">
        <w:rPr>
          <w:rFonts w:ascii="Times New Roman" w:hAnsi="Times New Roman"/>
          <w:sz w:val="22"/>
          <w:szCs w:val="22"/>
          <w:lang w:val="en-US"/>
        </w:rPr>
        <w:t xml:space="preserve"> S, </w:t>
      </w:r>
      <w:proofErr w:type="spellStart"/>
      <w:r w:rsidRPr="00B40707">
        <w:rPr>
          <w:rFonts w:ascii="Times New Roman" w:hAnsi="Times New Roman"/>
          <w:sz w:val="22"/>
          <w:szCs w:val="22"/>
          <w:lang w:val="en-US"/>
        </w:rPr>
        <w:t>Gullipalli</w:t>
      </w:r>
      <w:proofErr w:type="spellEnd"/>
      <w:r w:rsidRPr="00B40707">
        <w:rPr>
          <w:rFonts w:ascii="Times New Roman" w:hAnsi="Times New Roman"/>
          <w:sz w:val="22"/>
          <w:szCs w:val="22"/>
          <w:lang w:val="en-US"/>
        </w:rPr>
        <w:t xml:space="preserve"> P, et al. </w:t>
      </w:r>
      <w:r w:rsidRPr="00F20574">
        <w:rPr>
          <w:rFonts w:ascii="Times New Roman" w:hAnsi="Times New Roman"/>
          <w:sz w:val="22"/>
          <w:szCs w:val="22"/>
          <w:lang w:val="en-US"/>
        </w:rPr>
        <w:t xml:space="preserve">High prevalence of CKD of unknown etiology in </w:t>
      </w:r>
      <w:proofErr w:type="spellStart"/>
      <w:r w:rsidRPr="00F20574">
        <w:rPr>
          <w:rFonts w:ascii="Times New Roman" w:hAnsi="Times New Roman"/>
          <w:sz w:val="22"/>
          <w:szCs w:val="22"/>
          <w:lang w:val="en-US"/>
        </w:rPr>
        <w:t>Uddanam</w:t>
      </w:r>
      <w:proofErr w:type="spellEnd"/>
      <w:r w:rsidRPr="00F20574">
        <w:rPr>
          <w:rFonts w:ascii="Times New Roman" w:hAnsi="Times New Roman"/>
          <w:sz w:val="22"/>
          <w:szCs w:val="22"/>
          <w:lang w:val="en-US"/>
        </w:rPr>
        <w:t xml:space="preserve">, India. Kidney </w:t>
      </w:r>
      <w:proofErr w:type="spellStart"/>
      <w:r w:rsidRPr="00F20574">
        <w:rPr>
          <w:rFonts w:ascii="Times New Roman" w:hAnsi="Times New Roman"/>
          <w:sz w:val="22"/>
          <w:szCs w:val="22"/>
          <w:lang w:val="en-US"/>
        </w:rPr>
        <w:t>Int</w:t>
      </w:r>
      <w:proofErr w:type="spellEnd"/>
      <w:r w:rsidRPr="00F20574">
        <w:rPr>
          <w:rFonts w:ascii="Times New Roman" w:hAnsi="Times New Roman"/>
          <w:sz w:val="22"/>
          <w:szCs w:val="22"/>
          <w:lang w:val="en-US"/>
        </w:rPr>
        <w:t xml:space="preserve"> Reports. </w:t>
      </w:r>
      <w:proofErr w:type="gramStart"/>
      <w:r w:rsidRPr="00F20574">
        <w:rPr>
          <w:rFonts w:ascii="Times New Roman" w:hAnsi="Times New Roman"/>
          <w:sz w:val="22"/>
          <w:szCs w:val="22"/>
          <w:lang w:val="en-US"/>
        </w:rPr>
        <w:t>2019;4:380</w:t>
      </w:r>
      <w:proofErr w:type="gramEnd"/>
      <w:r w:rsidRPr="00F20574">
        <w:rPr>
          <w:rFonts w:ascii="Times New Roman" w:hAnsi="Times New Roman"/>
          <w:sz w:val="22"/>
          <w:szCs w:val="22"/>
          <w:lang w:val="en-US"/>
        </w:rPr>
        <w:t>–389</w:t>
      </w:r>
    </w:p>
    <w:p w14:paraId="5E8FFE39" w14:textId="77777777" w:rsidR="00FD6E8B" w:rsidRPr="00F20574" w:rsidRDefault="00FD6E8B" w:rsidP="002D08CF">
      <w:pPr>
        <w:pStyle w:val="Textonotaalfinal"/>
        <w:jc w:val="left"/>
        <w:rPr>
          <w:rFonts w:ascii="Times New Roman" w:hAnsi="Times New Roman"/>
          <w:sz w:val="22"/>
          <w:szCs w:val="22"/>
          <w:lang w:val="en-US"/>
        </w:rPr>
      </w:pPr>
    </w:p>
  </w:endnote>
  <w:endnote w:id="32">
    <w:p w14:paraId="12D72BC9" w14:textId="77777777" w:rsidR="00FD6E8B" w:rsidRPr="00F20574" w:rsidRDefault="00FD6E8B" w:rsidP="00DE498F">
      <w:pPr>
        <w:spacing w:after="0" w:line="240" w:lineRule="auto"/>
        <w:rPr>
          <w:rFonts w:ascii="Times New Roman" w:hAnsi="Times New Roman"/>
          <w:color w:val="0000FF"/>
          <w:u w:val="single"/>
          <w:lang w:val="en-US"/>
        </w:rPr>
      </w:pPr>
      <w:r w:rsidRPr="00F20574">
        <w:rPr>
          <w:rStyle w:val="Refdenotaalfinal"/>
          <w:rFonts w:ascii="Times New Roman" w:hAnsi="Times New Roman"/>
        </w:rPr>
        <w:endnoteRef/>
      </w:r>
      <w:r>
        <w:rPr>
          <w:rFonts w:ascii="Times New Roman" w:hAnsi="Times New Roman"/>
          <w:lang w:val="en-US"/>
        </w:rPr>
        <w:t xml:space="preserve"> </w:t>
      </w:r>
      <w:r w:rsidRPr="00F20574">
        <w:rPr>
          <w:rFonts w:ascii="Times New Roman" w:hAnsi="Times New Roman"/>
          <w:lang w:val="en-US"/>
        </w:rPr>
        <w:t>ISN. Kidney Disease Improving Global Outcomes (KDIGO). 2012 clinical practice guideline for the evaluation and management of chronic kidney disease. International Society o</w:t>
      </w:r>
      <w:r>
        <w:rPr>
          <w:rFonts w:ascii="Times New Roman" w:hAnsi="Times New Roman"/>
          <w:lang w:val="en-US"/>
        </w:rPr>
        <w:t xml:space="preserve">f Nephrology. Kidney </w:t>
      </w:r>
      <w:proofErr w:type="spellStart"/>
      <w:r>
        <w:rPr>
          <w:rFonts w:ascii="Times New Roman" w:hAnsi="Times New Roman"/>
          <w:lang w:val="en-US"/>
        </w:rPr>
        <w:t>Int</w:t>
      </w:r>
      <w:proofErr w:type="spellEnd"/>
      <w:r>
        <w:rPr>
          <w:rFonts w:ascii="Times New Roman" w:hAnsi="Times New Roman"/>
          <w:lang w:val="en-US"/>
        </w:rPr>
        <w:t xml:space="preserve"> Suppl. </w:t>
      </w:r>
      <w:r w:rsidRPr="00F20574">
        <w:rPr>
          <w:rFonts w:ascii="Times New Roman" w:hAnsi="Times New Roman"/>
          <w:lang w:val="en-US"/>
        </w:rPr>
        <w:t xml:space="preserve">2013;3(1):1-150. </w:t>
      </w:r>
    </w:p>
    <w:p w14:paraId="63B779BC" w14:textId="77777777" w:rsidR="00FD6E8B" w:rsidRPr="00F20574" w:rsidRDefault="00FD6E8B" w:rsidP="00DE498F">
      <w:pPr>
        <w:spacing w:after="0" w:line="240" w:lineRule="auto"/>
        <w:rPr>
          <w:rFonts w:ascii="Times New Roman" w:hAnsi="Times New Roman"/>
          <w:lang w:val="en-US"/>
        </w:rPr>
      </w:pPr>
    </w:p>
  </w:endnote>
  <w:endnote w:id="33">
    <w:p w14:paraId="43303641" w14:textId="77777777" w:rsidR="00FD6E8B" w:rsidRPr="00F20574" w:rsidRDefault="00FD6E8B" w:rsidP="00DE498F">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r w:rsidRPr="00F20574">
        <w:rPr>
          <w:rFonts w:ascii="Times New Roman" w:hAnsi="Times New Roman"/>
          <w:sz w:val="22"/>
          <w:szCs w:val="22"/>
          <w:lang w:val="en-US"/>
        </w:rPr>
        <w:t xml:space="preserve">Lozier M, </w:t>
      </w:r>
      <w:proofErr w:type="spellStart"/>
      <w:r w:rsidRPr="00F20574">
        <w:rPr>
          <w:rFonts w:ascii="Times New Roman" w:hAnsi="Times New Roman"/>
          <w:sz w:val="22"/>
          <w:szCs w:val="22"/>
          <w:lang w:val="en-US"/>
        </w:rPr>
        <w:t>Turcios</w:t>
      </w:r>
      <w:proofErr w:type="spellEnd"/>
      <w:r w:rsidRPr="00F20574">
        <w:rPr>
          <w:rFonts w:ascii="Times New Roman" w:hAnsi="Times New Roman"/>
          <w:sz w:val="22"/>
          <w:szCs w:val="22"/>
          <w:lang w:val="en-US"/>
        </w:rPr>
        <w:t xml:space="preserve">-Ruiz RM, Noonan G, </w:t>
      </w:r>
      <w:proofErr w:type="spellStart"/>
      <w:r w:rsidRPr="00F20574">
        <w:rPr>
          <w:rFonts w:ascii="Times New Roman" w:hAnsi="Times New Roman"/>
          <w:sz w:val="22"/>
          <w:szCs w:val="22"/>
          <w:lang w:val="en-US"/>
        </w:rPr>
        <w:t>Ordúñez</w:t>
      </w:r>
      <w:proofErr w:type="spellEnd"/>
      <w:r w:rsidRPr="00F20574">
        <w:rPr>
          <w:rFonts w:ascii="Times New Roman" w:hAnsi="Times New Roman"/>
          <w:sz w:val="22"/>
          <w:szCs w:val="22"/>
          <w:lang w:val="en-US"/>
        </w:rPr>
        <w:t xml:space="preserve"> P. Chronic kidney disease of nontraditional etiology in Central America: a provisional epidemiologic case definition for surveillance and epidemiologic studies. </w:t>
      </w:r>
      <w:proofErr w:type="spellStart"/>
      <w:r w:rsidRPr="00F20574">
        <w:rPr>
          <w:rFonts w:ascii="Times New Roman" w:hAnsi="Times New Roman"/>
          <w:sz w:val="22"/>
          <w:szCs w:val="22"/>
        </w:rPr>
        <w:t>Rev</w:t>
      </w:r>
      <w:proofErr w:type="spellEnd"/>
      <w:r w:rsidRPr="00F20574">
        <w:rPr>
          <w:rFonts w:ascii="Times New Roman" w:hAnsi="Times New Roman"/>
          <w:sz w:val="22"/>
          <w:szCs w:val="22"/>
        </w:rPr>
        <w:t xml:space="preserve"> </w:t>
      </w:r>
      <w:proofErr w:type="spellStart"/>
      <w:r w:rsidRPr="00F20574">
        <w:rPr>
          <w:rFonts w:ascii="Times New Roman" w:hAnsi="Times New Roman"/>
          <w:sz w:val="22"/>
          <w:szCs w:val="22"/>
        </w:rPr>
        <w:t>Panam</w:t>
      </w:r>
      <w:proofErr w:type="spellEnd"/>
      <w:r w:rsidRPr="00F20574">
        <w:rPr>
          <w:rFonts w:ascii="Times New Roman" w:hAnsi="Times New Roman"/>
          <w:sz w:val="22"/>
          <w:szCs w:val="22"/>
        </w:rPr>
        <w:t xml:space="preserve"> Salud Pública. 2016;(</w:t>
      </w:r>
      <w:proofErr w:type="gramStart"/>
      <w:r w:rsidRPr="00F20574">
        <w:rPr>
          <w:rFonts w:ascii="Times New Roman" w:hAnsi="Times New Roman"/>
          <w:sz w:val="22"/>
          <w:szCs w:val="22"/>
        </w:rPr>
        <w:t>40)5:294</w:t>
      </w:r>
      <w:proofErr w:type="gramEnd"/>
      <w:r w:rsidRPr="00F20574">
        <w:rPr>
          <w:rFonts w:ascii="Times New Roman" w:hAnsi="Times New Roman"/>
          <w:sz w:val="22"/>
          <w:szCs w:val="22"/>
        </w:rPr>
        <w:t>‒300.</w:t>
      </w:r>
    </w:p>
    <w:p w14:paraId="2B9E396D" w14:textId="77777777" w:rsidR="00FD6E8B" w:rsidRPr="00F20574" w:rsidRDefault="00FD6E8B" w:rsidP="00DE498F">
      <w:pPr>
        <w:pStyle w:val="Textonotaalfinal"/>
        <w:jc w:val="left"/>
        <w:rPr>
          <w:rFonts w:ascii="Times New Roman" w:hAnsi="Times New Roman"/>
          <w:sz w:val="22"/>
          <w:szCs w:val="22"/>
        </w:rPr>
      </w:pPr>
    </w:p>
  </w:endnote>
  <w:endnote w:id="34">
    <w:p w14:paraId="23ED9059" w14:textId="77777777" w:rsidR="00FD6E8B" w:rsidRPr="00F20574" w:rsidRDefault="00FD6E8B" w:rsidP="00F943D2">
      <w:pPr>
        <w:rPr>
          <w:rStyle w:val="Hipervnculo"/>
          <w:rFonts w:ascii="Times New Roman" w:hAnsi="Times New Roman"/>
          <w:color w:val="auto"/>
          <w:u w:val="none"/>
        </w:rPr>
      </w:pPr>
      <w:r w:rsidRPr="00F20574">
        <w:rPr>
          <w:rStyle w:val="Refdenotaalfinal"/>
          <w:rFonts w:ascii="Times New Roman" w:hAnsi="Times New Roman"/>
        </w:rPr>
        <w:endnoteRef/>
      </w:r>
      <w:r w:rsidRPr="00F943D2">
        <w:rPr>
          <w:rFonts w:ascii="Times New Roman" w:hAnsi="Times New Roman"/>
        </w:rPr>
        <w:t xml:space="preserve"> Instituto Nacional de Salud. </w:t>
      </w:r>
      <w:r w:rsidRPr="00F20574">
        <w:rPr>
          <w:rFonts w:ascii="Times New Roman" w:hAnsi="Times New Roman"/>
        </w:rPr>
        <w:t xml:space="preserve">Intoxicaciones agudas por plaguicidas, El Salvador, 2011 -2015. </w:t>
      </w:r>
      <w:r w:rsidRPr="00F20574">
        <w:rPr>
          <w:rFonts w:ascii="Times New Roman" w:hAnsi="Times New Roman"/>
          <w:lang w:val="es-ES_tradnl"/>
        </w:rPr>
        <w:t>Internet]. [citado 17 de agosto de 2019]</w:t>
      </w:r>
      <w:r>
        <w:rPr>
          <w:rFonts w:ascii="Times New Roman" w:hAnsi="Times New Roman"/>
          <w:lang w:val="es-ES_tradnl"/>
        </w:rPr>
        <w:t>.</w:t>
      </w:r>
      <w:r w:rsidRPr="00F20574">
        <w:rPr>
          <w:rFonts w:ascii="Times New Roman" w:hAnsi="Times New Roman"/>
          <w:lang w:val="es-ES_tradnl"/>
        </w:rPr>
        <w:t xml:space="preserve"> Disponible en:</w:t>
      </w:r>
      <w:hyperlink r:id="rId5" w:history="1">
        <w:r w:rsidRPr="00F20574">
          <w:rPr>
            <w:rStyle w:val="Hipervnculo"/>
            <w:rFonts w:ascii="Times New Roman" w:hAnsi="Times New Roman"/>
          </w:rPr>
          <w:t>http://ins.salud.gob.sv/wp-content/uploads/2018/07/Intoxicaciones-agudas-por-plaguicidas.pdf</w:t>
        </w:r>
      </w:hyperlink>
    </w:p>
    <w:p w14:paraId="6BC76B7D" w14:textId="77777777" w:rsidR="00FD6E8B" w:rsidRPr="00F20574" w:rsidRDefault="00FD6E8B" w:rsidP="00F943D2">
      <w:pPr>
        <w:pStyle w:val="Textonotaalfinal"/>
        <w:jc w:val="left"/>
        <w:rPr>
          <w:rFonts w:ascii="Times New Roman" w:hAnsi="Times New Roman"/>
          <w:sz w:val="22"/>
          <w:szCs w:val="22"/>
          <w:lang w:val="es-ES"/>
        </w:rPr>
      </w:pPr>
    </w:p>
  </w:endnote>
  <w:endnote w:id="35">
    <w:p w14:paraId="650B063D" w14:textId="77777777" w:rsidR="00FD6E8B" w:rsidRPr="00F20574" w:rsidRDefault="00FD6E8B" w:rsidP="00F943D2">
      <w:pPr>
        <w:rPr>
          <w:rFonts w:ascii="Times New Roman" w:hAnsi="Times New Roman"/>
          <w:color w:val="291810"/>
          <w:shd w:val="clear" w:color="auto" w:fill="FFFFFF"/>
          <w:lang w:val="es-SV"/>
        </w:rPr>
      </w:pPr>
      <w:r w:rsidRPr="00F20574">
        <w:rPr>
          <w:rStyle w:val="Refdenotaalfinal"/>
          <w:rFonts w:ascii="Times New Roman" w:hAnsi="Times New Roman"/>
        </w:rPr>
        <w:endnoteRef/>
      </w:r>
      <w:r w:rsidRPr="00F20574">
        <w:rPr>
          <w:rFonts w:ascii="Times New Roman" w:hAnsi="Times New Roman"/>
          <w:lang w:val="en-US"/>
        </w:rPr>
        <w:t xml:space="preserve"> </w:t>
      </w:r>
      <w:r w:rsidRPr="00F20574">
        <w:rPr>
          <w:rFonts w:ascii="Times New Roman" w:hAnsi="Times New Roman"/>
          <w:shd w:val="clear" w:color="auto" w:fill="FFFFFF"/>
          <w:lang w:val="en-US"/>
        </w:rPr>
        <w:t>World Health Organization &amp; Food and Agriculture Organization of the United Nations. International code of conduct on pesticide management: guidelines on highly hazardous pesticides. </w:t>
      </w:r>
      <w:r w:rsidRPr="00F20574">
        <w:rPr>
          <w:rFonts w:ascii="Times New Roman" w:hAnsi="Times New Roman"/>
          <w:lang w:val="es-ES_tradnl"/>
        </w:rPr>
        <w:t xml:space="preserve">[Internet]. [citado 17 de agosto de 2019]; 2016. Disponible en: </w:t>
      </w:r>
      <w:hyperlink r:id="rId6" w:history="1">
        <w:r w:rsidRPr="00F20574">
          <w:rPr>
            <w:rStyle w:val="Hipervnculo"/>
            <w:rFonts w:ascii="Times New Roman" w:hAnsi="Times New Roman"/>
            <w:lang w:val="es-SV"/>
          </w:rPr>
          <w:t>https://apps.who.int/iris/handle/10665/205561</w:t>
        </w:r>
      </w:hyperlink>
    </w:p>
  </w:endnote>
  <w:endnote w:id="36">
    <w:p w14:paraId="4C7CB3A6" w14:textId="77777777" w:rsidR="00FD6E8B" w:rsidRPr="00F20574" w:rsidRDefault="00FD6E8B" w:rsidP="00FD6E8B">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Kalton</w:t>
      </w:r>
      <w:proofErr w:type="spellEnd"/>
      <w:r w:rsidRPr="00F20574">
        <w:rPr>
          <w:rFonts w:ascii="Times New Roman" w:hAnsi="Times New Roman"/>
          <w:sz w:val="22"/>
          <w:szCs w:val="22"/>
          <w:lang w:val="en-US"/>
        </w:rPr>
        <w:t xml:space="preserve"> G, Flores I. Weighting methods. Journal of Official Statistics. 2003; 19(2): 81-97.</w:t>
      </w:r>
    </w:p>
    <w:p w14:paraId="6704C87C" w14:textId="77777777" w:rsidR="00FD6E8B" w:rsidRPr="00F20574" w:rsidRDefault="00FD6E8B" w:rsidP="00FD6E8B">
      <w:pPr>
        <w:pStyle w:val="Textonotaalfinal"/>
        <w:jc w:val="left"/>
        <w:rPr>
          <w:rFonts w:ascii="Times New Roman" w:hAnsi="Times New Roman"/>
          <w:sz w:val="22"/>
          <w:szCs w:val="22"/>
          <w:lang w:val="en-US"/>
        </w:rPr>
      </w:pPr>
    </w:p>
  </w:endnote>
  <w:endnote w:id="37">
    <w:p w14:paraId="3D8C2D71" w14:textId="77777777" w:rsidR="00FD6E8B" w:rsidRPr="00F20574" w:rsidRDefault="00FD6E8B" w:rsidP="00FD6E8B">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Lundström</w:t>
      </w:r>
      <w:proofErr w:type="spellEnd"/>
      <w:r w:rsidRPr="00F20574">
        <w:rPr>
          <w:rFonts w:ascii="Times New Roman" w:hAnsi="Times New Roman"/>
          <w:sz w:val="22"/>
          <w:szCs w:val="22"/>
          <w:lang w:val="en-US"/>
        </w:rPr>
        <w:t xml:space="preserve"> S, </w:t>
      </w:r>
      <w:proofErr w:type="spellStart"/>
      <w:r w:rsidRPr="00F20574">
        <w:rPr>
          <w:rFonts w:ascii="Times New Roman" w:hAnsi="Times New Roman"/>
          <w:sz w:val="22"/>
          <w:szCs w:val="22"/>
          <w:lang w:val="en-US"/>
        </w:rPr>
        <w:t>Särndal</w:t>
      </w:r>
      <w:proofErr w:type="spellEnd"/>
      <w:r w:rsidRPr="00F20574">
        <w:rPr>
          <w:rFonts w:ascii="Times New Roman" w:hAnsi="Times New Roman"/>
          <w:sz w:val="22"/>
          <w:szCs w:val="22"/>
          <w:lang w:val="en-US"/>
        </w:rPr>
        <w:t xml:space="preserve"> CE. Calibration as a standard method for the treatment of nonresponse. Journal of Official Statistics. 1999; 15: 305-327.</w:t>
      </w:r>
    </w:p>
    <w:p w14:paraId="45B80D36" w14:textId="77777777" w:rsidR="00FD6E8B" w:rsidRPr="00F20574" w:rsidRDefault="00FD6E8B" w:rsidP="00FD6E8B">
      <w:pPr>
        <w:pStyle w:val="Textonotaalfinal"/>
        <w:jc w:val="left"/>
        <w:rPr>
          <w:rFonts w:ascii="Times New Roman" w:hAnsi="Times New Roman"/>
          <w:sz w:val="22"/>
          <w:szCs w:val="22"/>
          <w:lang w:val="en-US"/>
        </w:rPr>
      </w:pPr>
    </w:p>
  </w:endnote>
  <w:endnote w:id="38">
    <w:p w14:paraId="1B8E7E58" w14:textId="77777777" w:rsidR="00FD6E8B" w:rsidRPr="00F20574" w:rsidRDefault="00FD6E8B" w:rsidP="0068719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r w:rsidRPr="00F20574">
        <w:rPr>
          <w:rFonts w:ascii="Times New Roman" w:hAnsi="Times New Roman"/>
          <w:sz w:val="22"/>
          <w:szCs w:val="22"/>
          <w:lang w:val="en-US"/>
        </w:rPr>
        <w:t>WHO. Operational Guidelines for Ethics Committees that review Biomedical Research. Geneva: World Health Organization; 2000.</w:t>
      </w:r>
    </w:p>
    <w:p w14:paraId="4491B0B6" w14:textId="77777777" w:rsidR="00FD6E8B" w:rsidRPr="00F20574" w:rsidRDefault="00FD6E8B" w:rsidP="00687199">
      <w:pPr>
        <w:pStyle w:val="Textonotaalfinal"/>
        <w:jc w:val="left"/>
        <w:rPr>
          <w:rFonts w:ascii="Times New Roman" w:hAnsi="Times New Roman"/>
          <w:sz w:val="22"/>
          <w:szCs w:val="22"/>
          <w:lang w:val="en-US"/>
        </w:rPr>
      </w:pPr>
    </w:p>
  </w:endnote>
  <w:endnote w:id="39">
    <w:p w14:paraId="75A2BFE2" w14:textId="77777777" w:rsidR="00FD6E8B" w:rsidRPr="00FA1021" w:rsidRDefault="00FD6E8B" w:rsidP="003A7CD4">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Valcke</w:t>
      </w:r>
      <w:proofErr w:type="spellEnd"/>
      <w:r w:rsidRPr="00F20574">
        <w:rPr>
          <w:rFonts w:ascii="Times New Roman" w:hAnsi="Times New Roman"/>
          <w:sz w:val="22"/>
          <w:szCs w:val="22"/>
          <w:lang w:val="en-US"/>
        </w:rPr>
        <w:t xml:space="preserve"> M, Orantes CM, </w:t>
      </w:r>
      <w:proofErr w:type="spellStart"/>
      <w:r w:rsidRPr="00F20574">
        <w:rPr>
          <w:rFonts w:ascii="Times New Roman" w:hAnsi="Times New Roman"/>
          <w:sz w:val="22"/>
          <w:szCs w:val="22"/>
          <w:lang w:val="en-US"/>
        </w:rPr>
        <w:t>Lavasseur</w:t>
      </w:r>
      <w:proofErr w:type="spellEnd"/>
      <w:r w:rsidRPr="00F20574">
        <w:rPr>
          <w:rFonts w:ascii="Times New Roman" w:hAnsi="Times New Roman"/>
          <w:sz w:val="22"/>
          <w:szCs w:val="22"/>
          <w:lang w:val="en-US"/>
        </w:rPr>
        <w:t xml:space="preserve"> ME. Chronic disease of undetermined etiology and pesticide exposure: an update on recent data. Presentation at the Second International Research Workshop on Mesoamerican Nephropathy, Consortium on the Epidemic of Nephropathy in Central America and México (CENCAM) and Central American Program on Work, Environment and Health (SALTRA). </w:t>
      </w:r>
      <w:r w:rsidRPr="00FA1021">
        <w:rPr>
          <w:rFonts w:ascii="Times New Roman" w:hAnsi="Times New Roman"/>
          <w:sz w:val="22"/>
          <w:szCs w:val="22"/>
        </w:rPr>
        <w:t>Costa Rica; 2015.</w:t>
      </w:r>
    </w:p>
    <w:p w14:paraId="7FA83084" w14:textId="77777777" w:rsidR="00FD6E8B" w:rsidRPr="00FA1021" w:rsidRDefault="00FD6E8B" w:rsidP="003A7CD4">
      <w:pPr>
        <w:pStyle w:val="Textonotaalfinal"/>
        <w:jc w:val="left"/>
        <w:rPr>
          <w:rFonts w:ascii="Times New Roman" w:hAnsi="Times New Roman"/>
          <w:sz w:val="22"/>
          <w:szCs w:val="22"/>
        </w:rPr>
      </w:pPr>
    </w:p>
  </w:endnote>
  <w:endnote w:id="40">
    <w:p w14:paraId="116B16F2" w14:textId="77777777" w:rsidR="00FD6E8B" w:rsidRPr="00F20574" w:rsidRDefault="00FD6E8B" w:rsidP="00B94762">
      <w:pPr>
        <w:rPr>
          <w:rFonts w:ascii="Times New Roman" w:hAnsi="Times New Roman"/>
        </w:rPr>
      </w:pPr>
      <w:r w:rsidRPr="00F20574">
        <w:rPr>
          <w:rStyle w:val="Refdenotaalfinal"/>
          <w:rFonts w:ascii="Times New Roman" w:hAnsi="Times New Roman"/>
        </w:rPr>
        <w:endnoteRef/>
      </w:r>
      <w:r w:rsidRPr="00F20574">
        <w:rPr>
          <w:rFonts w:ascii="Times New Roman" w:hAnsi="Times New Roman"/>
          <w:lang w:val="es-ES_tradnl"/>
        </w:rPr>
        <w:t xml:space="preserve"> Quinteros E, Ribó A, Mejía R, López A, </w:t>
      </w:r>
      <w:proofErr w:type="spellStart"/>
      <w:r w:rsidRPr="00F20574">
        <w:rPr>
          <w:rFonts w:ascii="Times New Roman" w:hAnsi="Times New Roman"/>
          <w:lang w:val="es-ES_tradnl"/>
        </w:rPr>
        <w:t>Belteton</w:t>
      </w:r>
      <w:proofErr w:type="spellEnd"/>
      <w:r w:rsidRPr="00F20574">
        <w:rPr>
          <w:rFonts w:ascii="Times New Roman" w:hAnsi="Times New Roman"/>
          <w:lang w:val="es-ES_tradnl"/>
        </w:rPr>
        <w:t xml:space="preserve"> W, </w:t>
      </w:r>
      <w:proofErr w:type="spellStart"/>
      <w:r w:rsidRPr="00F20574">
        <w:rPr>
          <w:rFonts w:ascii="Times New Roman" w:hAnsi="Times New Roman"/>
          <w:lang w:val="es-ES_tradnl"/>
        </w:rPr>
        <w:t>Comandari</w:t>
      </w:r>
      <w:proofErr w:type="spellEnd"/>
      <w:r w:rsidRPr="00F20574">
        <w:rPr>
          <w:rFonts w:ascii="Times New Roman" w:hAnsi="Times New Roman"/>
          <w:lang w:val="es-ES_tradnl"/>
        </w:rPr>
        <w:t xml:space="preserve"> A, et al. </w:t>
      </w:r>
      <w:r w:rsidRPr="00F20574">
        <w:rPr>
          <w:rFonts w:ascii="Times New Roman" w:hAnsi="Times New Roman"/>
          <w:lang w:val="en-US"/>
        </w:rPr>
        <w:t xml:space="preserve">Heavy metals and pesticide exposure from agricultural activities and former agrochemical factory in a Salvadoran rural community. </w:t>
      </w:r>
      <w:proofErr w:type="spellStart"/>
      <w:r w:rsidRPr="00F20574">
        <w:rPr>
          <w:rFonts w:ascii="Times New Roman" w:hAnsi="Times New Roman"/>
        </w:rPr>
        <w:t>Environ</w:t>
      </w:r>
      <w:proofErr w:type="spellEnd"/>
      <w:r w:rsidRPr="00F20574">
        <w:rPr>
          <w:rFonts w:ascii="Times New Roman" w:hAnsi="Times New Roman"/>
        </w:rPr>
        <w:t xml:space="preserve"> </w:t>
      </w:r>
      <w:proofErr w:type="spellStart"/>
      <w:r w:rsidRPr="00F20574">
        <w:rPr>
          <w:rFonts w:ascii="Times New Roman" w:hAnsi="Times New Roman"/>
        </w:rPr>
        <w:t>Sci</w:t>
      </w:r>
      <w:proofErr w:type="spellEnd"/>
      <w:r w:rsidRPr="00F20574">
        <w:rPr>
          <w:rFonts w:ascii="Times New Roman" w:hAnsi="Times New Roman"/>
        </w:rPr>
        <w:t xml:space="preserve"> </w:t>
      </w:r>
      <w:proofErr w:type="spellStart"/>
      <w:r w:rsidRPr="00F20574">
        <w:rPr>
          <w:rFonts w:ascii="Times New Roman" w:hAnsi="Times New Roman"/>
        </w:rPr>
        <w:t>Pollut</w:t>
      </w:r>
      <w:proofErr w:type="spellEnd"/>
      <w:r w:rsidRPr="00F20574">
        <w:rPr>
          <w:rFonts w:ascii="Times New Roman" w:hAnsi="Times New Roman"/>
        </w:rPr>
        <w:t xml:space="preserve"> Res [Internet]. [citado </w:t>
      </w:r>
      <w:r>
        <w:rPr>
          <w:rFonts w:ascii="Times New Roman" w:hAnsi="Times New Roman"/>
        </w:rPr>
        <w:t>28</w:t>
      </w:r>
      <w:r w:rsidRPr="00F20574">
        <w:rPr>
          <w:rFonts w:ascii="Times New Roman" w:hAnsi="Times New Roman"/>
        </w:rPr>
        <w:t xml:space="preserve"> de </w:t>
      </w:r>
      <w:r>
        <w:rPr>
          <w:rFonts w:ascii="Times New Roman" w:hAnsi="Times New Roman"/>
        </w:rPr>
        <w:t>octubre</w:t>
      </w:r>
      <w:r w:rsidRPr="00F20574">
        <w:rPr>
          <w:rFonts w:ascii="Times New Roman" w:hAnsi="Times New Roman"/>
        </w:rPr>
        <w:t xml:space="preserve"> de 201</w:t>
      </w:r>
      <w:r>
        <w:rPr>
          <w:rFonts w:ascii="Times New Roman" w:hAnsi="Times New Roman"/>
        </w:rPr>
        <w:t>9</w:t>
      </w:r>
      <w:r w:rsidRPr="00F20574">
        <w:rPr>
          <w:rFonts w:ascii="Times New Roman" w:hAnsi="Times New Roman"/>
        </w:rPr>
        <w:t xml:space="preserve">]; Disponible en: </w:t>
      </w:r>
      <w:hyperlink r:id="rId7" w:history="1">
        <w:r w:rsidRPr="005B05BD">
          <w:rPr>
            <w:rStyle w:val="Hipervnculo"/>
            <w:rFonts w:ascii="Times New Roman" w:hAnsi="Times New Roman"/>
          </w:rPr>
          <w:t>http://link.springer.com/10.1007/s11356-016-7899-z</w:t>
        </w:r>
      </w:hyperlink>
      <w:r>
        <w:rPr>
          <w:rFonts w:ascii="Times New Roman" w:hAnsi="Times New Roman"/>
        </w:rPr>
        <w:t xml:space="preserve"> </w:t>
      </w:r>
    </w:p>
    <w:p w14:paraId="545BF3F7" w14:textId="77777777" w:rsidR="00FD6E8B" w:rsidRPr="00F20574" w:rsidRDefault="00FD6E8B" w:rsidP="00B94762">
      <w:pPr>
        <w:pStyle w:val="Textonotaalfinal"/>
        <w:jc w:val="left"/>
        <w:rPr>
          <w:rFonts w:ascii="Times New Roman" w:hAnsi="Times New Roman"/>
          <w:sz w:val="22"/>
          <w:szCs w:val="22"/>
          <w:lang w:val="es-ES"/>
        </w:rPr>
      </w:pPr>
    </w:p>
  </w:endnote>
  <w:endnote w:id="41">
    <w:p w14:paraId="66AB3175" w14:textId="77777777" w:rsidR="00FD6E8B" w:rsidRPr="00F20574" w:rsidRDefault="00FD6E8B" w:rsidP="00B94762">
      <w:pPr>
        <w:rPr>
          <w:rFonts w:ascii="Times New Roman" w:hAnsi="Times New Roman"/>
          <w:lang w:val="es-ES_tradnl"/>
        </w:rPr>
      </w:pPr>
      <w:r w:rsidRPr="00F20574">
        <w:rPr>
          <w:rStyle w:val="Refdenotaalfinal"/>
          <w:rFonts w:ascii="Times New Roman" w:hAnsi="Times New Roman"/>
        </w:rPr>
        <w:endnoteRef/>
      </w:r>
      <w:r w:rsidRPr="00F20574">
        <w:rPr>
          <w:rFonts w:ascii="Times New Roman" w:hAnsi="Times New Roman"/>
          <w:lang w:val="es-ES_tradnl"/>
        </w:rPr>
        <w:t xml:space="preserve"> </w:t>
      </w:r>
      <w:r w:rsidRPr="00F20574">
        <w:rPr>
          <w:rFonts w:ascii="Times New Roman" w:hAnsi="Times New Roman"/>
        </w:rPr>
        <w:t xml:space="preserve">Mejía R, Quinteros E, López A, Ribó A, </w:t>
      </w:r>
      <w:proofErr w:type="spellStart"/>
      <w:r w:rsidRPr="00F20574">
        <w:rPr>
          <w:rFonts w:ascii="Times New Roman" w:hAnsi="Times New Roman"/>
        </w:rPr>
        <w:t>Cedillos</w:t>
      </w:r>
      <w:proofErr w:type="spellEnd"/>
      <w:r w:rsidRPr="00F20574">
        <w:rPr>
          <w:rFonts w:ascii="Times New Roman" w:hAnsi="Times New Roman"/>
        </w:rPr>
        <w:t xml:space="preserve"> H, Orantes CM, et al. </w:t>
      </w:r>
      <w:r w:rsidRPr="00F20574">
        <w:rPr>
          <w:rFonts w:ascii="Times New Roman" w:hAnsi="Times New Roman"/>
          <w:lang w:val="en-US"/>
        </w:rPr>
        <w:t xml:space="preserve">Pesticide-Handling Practices in Agriculture in El Salvador: An Example from 42 Patient Farmers with Chronic Kidney Disease in the </w:t>
      </w:r>
      <w:proofErr w:type="spellStart"/>
      <w:r w:rsidRPr="00F20574">
        <w:rPr>
          <w:rFonts w:ascii="Times New Roman" w:hAnsi="Times New Roman"/>
          <w:lang w:val="en-US"/>
        </w:rPr>
        <w:t>Bajo</w:t>
      </w:r>
      <w:proofErr w:type="spellEnd"/>
      <w:r w:rsidRPr="00F20574">
        <w:rPr>
          <w:rFonts w:ascii="Times New Roman" w:hAnsi="Times New Roman"/>
          <w:lang w:val="en-US"/>
        </w:rPr>
        <w:t xml:space="preserve"> </w:t>
      </w:r>
      <w:proofErr w:type="spellStart"/>
      <w:r w:rsidRPr="00F20574">
        <w:rPr>
          <w:rFonts w:ascii="Times New Roman" w:hAnsi="Times New Roman"/>
          <w:lang w:val="en-US"/>
        </w:rPr>
        <w:t>Lempa</w:t>
      </w:r>
      <w:proofErr w:type="spellEnd"/>
      <w:r w:rsidRPr="00F20574">
        <w:rPr>
          <w:rFonts w:ascii="Times New Roman" w:hAnsi="Times New Roman"/>
          <w:lang w:val="en-US"/>
        </w:rPr>
        <w:t xml:space="preserve"> Region. </w:t>
      </w:r>
      <w:proofErr w:type="spellStart"/>
      <w:r w:rsidRPr="00F20574">
        <w:rPr>
          <w:rFonts w:ascii="Times New Roman" w:hAnsi="Times New Roman"/>
          <w:lang w:val="es-ES_tradnl"/>
        </w:rPr>
        <w:t>Occup</w:t>
      </w:r>
      <w:proofErr w:type="spellEnd"/>
      <w:r w:rsidRPr="00F20574">
        <w:rPr>
          <w:rFonts w:ascii="Times New Roman" w:hAnsi="Times New Roman"/>
          <w:lang w:val="es-ES_tradnl"/>
        </w:rPr>
        <w:t xml:space="preserve"> </w:t>
      </w:r>
      <w:proofErr w:type="spellStart"/>
      <w:r w:rsidRPr="00F20574">
        <w:rPr>
          <w:rFonts w:ascii="Times New Roman" w:hAnsi="Times New Roman"/>
          <w:lang w:val="es-ES_tradnl"/>
        </w:rPr>
        <w:t>Dis</w:t>
      </w:r>
      <w:proofErr w:type="spellEnd"/>
      <w:r w:rsidRPr="00F20574">
        <w:rPr>
          <w:rFonts w:ascii="Times New Roman" w:hAnsi="Times New Roman"/>
          <w:lang w:val="es-ES_tradnl"/>
        </w:rPr>
        <w:t xml:space="preserve"> </w:t>
      </w:r>
      <w:proofErr w:type="spellStart"/>
      <w:r w:rsidRPr="00F20574">
        <w:rPr>
          <w:rFonts w:ascii="Times New Roman" w:hAnsi="Times New Roman"/>
          <w:lang w:val="es-ES_tradnl"/>
        </w:rPr>
        <w:t>Environ</w:t>
      </w:r>
      <w:proofErr w:type="spellEnd"/>
      <w:r w:rsidRPr="00F20574">
        <w:rPr>
          <w:rFonts w:ascii="Times New Roman" w:hAnsi="Times New Roman"/>
          <w:lang w:val="es-ES_tradnl"/>
        </w:rPr>
        <w:t xml:space="preserve"> </w:t>
      </w:r>
      <w:proofErr w:type="spellStart"/>
      <w:r w:rsidRPr="00F20574">
        <w:rPr>
          <w:rFonts w:ascii="Times New Roman" w:hAnsi="Times New Roman"/>
          <w:lang w:val="es-ES_tradnl"/>
        </w:rPr>
        <w:t>Med</w:t>
      </w:r>
      <w:proofErr w:type="spellEnd"/>
      <w:r w:rsidRPr="00F20574">
        <w:rPr>
          <w:rFonts w:ascii="Times New Roman" w:hAnsi="Times New Roman"/>
          <w:lang w:val="es-ES_tradnl"/>
        </w:rPr>
        <w:t xml:space="preserve">. 2014; 2(03):56-70. 23. </w:t>
      </w:r>
    </w:p>
    <w:p w14:paraId="50953077" w14:textId="77777777" w:rsidR="00FD6E8B" w:rsidRPr="00F20574" w:rsidRDefault="00FD6E8B" w:rsidP="00B94762">
      <w:pPr>
        <w:pStyle w:val="Textonotaalfinal"/>
        <w:jc w:val="left"/>
        <w:rPr>
          <w:rFonts w:ascii="Times New Roman" w:hAnsi="Times New Roman"/>
          <w:sz w:val="22"/>
          <w:szCs w:val="22"/>
        </w:rPr>
      </w:pPr>
    </w:p>
  </w:endnote>
  <w:endnote w:id="42">
    <w:p w14:paraId="666BC353" w14:textId="77777777" w:rsidR="00FD6E8B" w:rsidRPr="00F20574" w:rsidRDefault="00FD6E8B" w:rsidP="003A7CD4">
      <w:pPr>
        <w:pStyle w:val="Textonotaalfinal"/>
        <w:jc w:val="left"/>
        <w:rPr>
          <w:rFonts w:ascii="Times New Roman" w:hAnsi="Times New Roman"/>
          <w:sz w:val="22"/>
          <w:szCs w:val="22"/>
          <w:lang w:val="en-US" w:eastAsia="en-US"/>
        </w:rPr>
      </w:pPr>
      <w:r w:rsidRPr="00F20574">
        <w:rPr>
          <w:rStyle w:val="Refdenotaalfinal"/>
          <w:rFonts w:ascii="Times New Roman" w:hAnsi="Times New Roman"/>
          <w:sz w:val="22"/>
          <w:szCs w:val="22"/>
        </w:rPr>
        <w:endnoteRef/>
      </w:r>
      <w:r>
        <w:rPr>
          <w:rFonts w:ascii="Times New Roman" w:hAnsi="Times New Roman"/>
          <w:sz w:val="22"/>
          <w:szCs w:val="22"/>
          <w:lang w:eastAsia="en-US"/>
        </w:rPr>
        <w:t xml:space="preserve"> </w:t>
      </w:r>
      <w:r w:rsidRPr="00F20574">
        <w:rPr>
          <w:rFonts w:ascii="Times New Roman" w:hAnsi="Times New Roman"/>
          <w:sz w:val="22"/>
          <w:szCs w:val="22"/>
          <w:lang w:eastAsia="en-US"/>
        </w:rPr>
        <w:t xml:space="preserve">Bravo V, Rodríguez T, Van </w:t>
      </w:r>
      <w:proofErr w:type="spellStart"/>
      <w:r w:rsidRPr="00F20574">
        <w:rPr>
          <w:rFonts w:ascii="Times New Roman" w:hAnsi="Times New Roman"/>
          <w:sz w:val="22"/>
          <w:szCs w:val="22"/>
          <w:lang w:eastAsia="en-US"/>
        </w:rPr>
        <w:t>Wendel</w:t>
      </w:r>
      <w:proofErr w:type="spellEnd"/>
      <w:r w:rsidRPr="00F20574">
        <w:rPr>
          <w:rFonts w:ascii="Times New Roman" w:hAnsi="Times New Roman"/>
          <w:sz w:val="22"/>
          <w:szCs w:val="22"/>
          <w:lang w:eastAsia="en-US"/>
        </w:rPr>
        <w:t xml:space="preserve"> B, Canto N, Calderón GR, </w:t>
      </w:r>
      <w:proofErr w:type="spellStart"/>
      <w:r w:rsidRPr="00F20574">
        <w:rPr>
          <w:rFonts w:ascii="Times New Roman" w:hAnsi="Times New Roman"/>
          <w:sz w:val="22"/>
          <w:szCs w:val="22"/>
          <w:lang w:eastAsia="en-US"/>
        </w:rPr>
        <w:t>Turcios</w:t>
      </w:r>
      <w:proofErr w:type="spellEnd"/>
      <w:r w:rsidRPr="00F20574">
        <w:rPr>
          <w:rFonts w:ascii="Times New Roman" w:hAnsi="Times New Roman"/>
          <w:sz w:val="22"/>
          <w:szCs w:val="22"/>
          <w:lang w:eastAsia="en-US"/>
        </w:rPr>
        <w:t xml:space="preserve"> M, et al. </w:t>
      </w:r>
      <w:r w:rsidRPr="00F20574">
        <w:rPr>
          <w:rFonts w:ascii="Times New Roman" w:hAnsi="Times New Roman"/>
          <w:sz w:val="22"/>
          <w:szCs w:val="22"/>
          <w:lang w:val="en-US" w:eastAsia="en-US"/>
        </w:rPr>
        <w:t xml:space="preserve">Monitoring pesticide use and associated health hazards in Central </w:t>
      </w:r>
      <w:proofErr w:type="spellStart"/>
      <w:r w:rsidRPr="00F20574">
        <w:rPr>
          <w:rFonts w:ascii="Times New Roman" w:hAnsi="Times New Roman"/>
          <w:sz w:val="22"/>
          <w:szCs w:val="22"/>
          <w:lang w:val="en-US" w:eastAsia="en-US"/>
        </w:rPr>
        <w:t>América</w:t>
      </w:r>
      <w:proofErr w:type="spellEnd"/>
      <w:r w:rsidRPr="00F20574">
        <w:rPr>
          <w:rFonts w:ascii="Times New Roman" w:hAnsi="Times New Roman"/>
          <w:sz w:val="22"/>
          <w:szCs w:val="22"/>
          <w:lang w:val="en-US" w:eastAsia="en-US"/>
        </w:rPr>
        <w:t xml:space="preserve">. </w:t>
      </w:r>
      <w:proofErr w:type="spellStart"/>
      <w:r w:rsidRPr="00F20574">
        <w:rPr>
          <w:rFonts w:ascii="Times New Roman" w:hAnsi="Times New Roman"/>
          <w:sz w:val="22"/>
          <w:szCs w:val="22"/>
          <w:lang w:val="en-US" w:eastAsia="en-US"/>
        </w:rPr>
        <w:t>Int</w:t>
      </w:r>
      <w:proofErr w:type="spellEnd"/>
      <w:r w:rsidRPr="00F20574">
        <w:rPr>
          <w:rFonts w:ascii="Times New Roman" w:hAnsi="Times New Roman"/>
          <w:sz w:val="22"/>
          <w:szCs w:val="22"/>
          <w:lang w:val="en-US" w:eastAsia="en-US"/>
        </w:rPr>
        <w:t xml:space="preserve"> J </w:t>
      </w:r>
      <w:proofErr w:type="spellStart"/>
      <w:r w:rsidRPr="00F20574">
        <w:rPr>
          <w:rFonts w:ascii="Times New Roman" w:hAnsi="Times New Roman"/>
          <w:sz w:val="22"/>
          <w:szCs w:val="22"/>
          <w:lang w:val="en-US" w:eastAsia="en-US"/>
        </w:rPr>
        <w:t>Occup</w:t>
      </w:r>
      <w:proofErr w:type="spellEnd"/>
      <w:r w:rsidRPr="00F20574">
        <w:rPr>
          <w:rFonts w:ascii="Times New Roman" w:hAnsi="Times New Roman"/>
          <w:sz w:val="22"/>
          <w:szCs w:val="22"/>
          <w:lang w:val="en-US" w:eastAsia="en-US"/>
        </w:rPr>
        <w:t xml:space="preserve"> Environ Health. 2011; 17:258−69.</w:t>
      </w:r>
    </w:p>
    <w:p w14:paraId="4F313632" w14:textId="77777777" w:rsidR="00FD6E8B" w:rsidRPr="00F20574" w:rsidRDefault="00FD6E8B" w:rsidP="003A7CD4">
      <w:pPr>
        <w:pStyle w:val="Textonotaalfinal"/>
        <w:jc w:val="left"/>
        <w:rPr>
          <w:rFonts w:ascii="Times New Roman" w:hAnsi="Times New Roman"/>
          <w:sz w:val="22"/>
          <w:szCs w:val="22"/>
          <w:lang w:val="en-US"/>
        </w:rPr>
      </w:pPr>
    </w:p>
  </w:endnote>
  <w:endnote w:id="43">
    <w:p w14:paraId="5114DF90" w14:textId="77777777" w:rsidR="00FD6E8B" w:rsidRPr="00F20574" w:rsidRDefault="00FD6E8B" w:rsidP="003A7CD4">
      <w:pPr>
        <w:spacing w:after="0" w:line="240" w:lineRule="auto"/>
        <w:rPr>
          <w:rFonts w:ascii="Times New Roman" w:hAnsi="Times New Roman"/>
          <w:lang w:val="en-US"/>
        </w:rPr>
      </w:pPr>
      <w:r w:rsidRPr="00F20574">
        <w:rPr>
          <w:rStyle w:val="Refdenotaalfinal"/>
          <w:rFonts w:ascii="Times New Roman" w:hAnsi="Times New Roman"/>
        </w:rPr>
        <w:endnoteRef/>
      </w:r>
      <w:r>
        <w:rPr>
          <w:rFonts w:ascii="Times New Roman" w:hAnsi="Times New Roman"/>
          <w:lang w:val="en-US"/>
        </w:rPr>
        <w:t xml:space="preserve"> </w:t>
      </w:r>
      <w:r w:rsidRPr="00F20574">
        <w:rPr>
          <w:rFonts w:ascii="Times New Roman" w:hAnsi="Times New Roman"/>
          <w:lang w:val="en-US"/>
        </w:rPr>
        <w:t xml:space="preserve">Murray D, </w:t>
      </w:r>
      <w:proofErr w:type="spellStart"/>
      <w:r w:rsidRPr="00F20574">
        <w:rPr>
          <w:rFonts w:ascii="Times New Roman" w:hAnsi="Times New Roman"/>
          <w:lang w:val="en-US"/>
        </w:rPr>
        <w:t>Wesseling</w:t>
      </w:r>
      <w:proofErr w:type="spellEnd"/>
      <w:r w:rsidRPr="00F20574">
        <w:rPr>
          <w:rFonts w:ascii="Times New Roman" w:hAnsi="Times New Roman"/>
          <w:lang w:val="en-US"/>
        </w:rPr>
        <w:t xml:space="preserve"> C, </w:t>
      </w:r>
      <w:proofErr w:type="spellStart"/>
      <w:r w:rsidRPr="00F20574">
        <w:rPr>
          <w:rFonts w:ascii="Times New Roman" w:hAnsi="Times New Roman"/>
          <w:lang w:val="en-US"/>
        </w:rPr>
        <w:t>Keifer</w:t>
      </w:r>
      <w:proofErr w:type="spellEnd"/>
      <w:r w:rsidRPr="00F20574">
        <w:rPr>
          <w:rFonts w:ascii="Times New Roman" w:hAnsi="Times New Roman"/>
          <w:lang w:val="en-US"/>
        </w:rPr>
        <w:t xml:space="preserve"> M, </w:t>
      </w:r>
      <w:proofErr w:type="spellStart"/>
      <w:r w:rsidRPr="00F20574">
        <w:rPr>
          <w:rFonts w:ascii="Times New Roman" w:hAnsi="Times New Roman"/>
          <w:lang w:val="en-US"/>
        </w:rPr>
        <w:t>Corriols</w:t>
      </w:r>
      <w:proofErr w:type="spellEnd"/>
      <w:r w:rsidRPr="00F20574">
        <w:rPr>
          <w:rFonts w:ascii="Times New Roman" w:hAnsi="Times New Roman"/>
          <w:lang w:val="en-US"/>
        </w:rPr>
        <w:t xml:space="preserve"> M, </w:t>
      </w:r>
      <w:proofErr w:type="spellStart"/>
      <w:r w:rsidRPr="00F20574">
        <w:rPr>
          <w:rFonts w:ascii="Times New Roman" w:hAnsi="Times New Roman"/>
          <w:lang w:val="en-US"/>
        </w:rPr>
        <w:t>Henao</w:t>
      </w:r>
      <w:proofErr w:type="spellEnd"/>
      <w:r w:rsidRPr="00F20574">
        <w:rPr>
          <w:rFonts w:ascii="Times New Roman" w:hAnsi="Times New Roman"/>
          <w:lang w:val="en-US"/>
        </w:rPr>
        <w:t xml:space="preserve"> S. Surveillance of pesticide-related illness in the developing world: putting the data to work. </w:t>
      </w:r>
      <w:proofErr w:type="spellStart"/>
      <w:r w:rsidRPr="00F20574">
        <w:rPr>
          <w:rFonts w:ascii="Times New Roman" w:hAnsi="Times New Roman"/>
          <w:lang w:val="en-US"/>
        </w:rPr>
        <w:t>Int</w:t>
      </w:r>
      <w:proofErr w:type="spellEnd"/>
      <w:r w:rsidRPr="00F20574">
        <w:rPr>
          <w:rFonts w:ascii="Times New Roman" w:hAnsi="Times New Roman"/>
          <w:lang w:val="en-US"/>
        </w:rPr>
        <w:t xml:space="preserve"> J </w:t>
      </w:r>
      <w:proofErr w:type="spellStart"/>
      <w:r w:rsidRPr="00F20574">
        <w:rPr>
          <w:rFonts w:ascii="Times New Roman" w:hAnsi="Times New Roman"/>
          <w:lang w:val="en-US"/>
        </w:rPr>
        <w:t>Occup</w:t>
      </w:r>
      <w:proofErr w:type="spellEnd"/>
      <w:r w:rsidRPr="00F20574">
        <w:rPr>
          <w:rFonts w:ascii="Times New Roman" w:hAnsi="Times New Roman"/>
          <w:lang w:val="en-US"/>
        </w:rPr>
        <w:t xml:space="preserve"> Environ Health. 2002; 8(3): 243-248.</w:t>
      </w:r>
    </w:p>
    <w:p w14:paraId="28D172CD" w14:textId="77777777" w:rsidR="00FD6E8B" w:rsidRPr="00F20574" w:rsidRDefault="00FD6E8B" w:rsidP="003A7CD4">
      <w:pPr>
        <w:spacing w:after="0" w:line="240" w:lineRule="auto"/>
        <w:rPr>
          <w:rFonts w:ascii="Times New Roman" w:hAnsi="Times New Roman"/>
          <w:lang w:val="en-US"/>
        </w:rPr>
      </w:pPr>
    </w:p>
  </w:endnote>
  <w:endnote w:id="44">
    <w:p w14:paraId="06759246" w14:textId="77777777" w:rsidR="00FD6E8B" w:rsidRPr="00F20574" w:rsidRDefault="00FD6E8B" w:rsidP="00B94762">
      <w:pPr>
        <w:spacing w:after="0" w:line="240" w:lineRule="auto"/>
        <w:rPr>
          <w:rFonts w:ascii="Times New Roman" w:hAnsi="Times New Roman"/>
          <w:lang w:val="en-US" w:eastAsia="es-ES_tradnl"/>
        </w:rPr>
      </w:pPr>
      <w:r w:rsidRPr="00F20574">
        <w:rPr>
          <w:rStyle w:val="Refdenotaalfinal"/>
          <w:rFonts w:ascii="Times New Roman" w:hAnsi="Times New Roman"/>
        </w:rPr>
        <w:endnoteRef/>
      </w:r>
      <w:r w:rsidRPr="00FA1021">
        <w:rPr>
          <w:rFonts w:ascii="Times New Roman" w:hAnsi="Times New Roman"/>
          <w:lang w:val="en-US"/>
        </w:rPr>
        <w:t xml:space="preserve"> </w:t>
      </w:r>
      <w:r w:rsidRPr="00FA1021">
        <w:rPr>
          <w:rFonts w:ascii="Times New Roman" w:hAnsi="Times New Roman"/>
          <w:lang w:val="en-US" w:eastAsia="es-ES_tradnl"/>
        </w:rPr>
        <w:t xml:space="preserve">Van </w:t>
      </w:r>
      <w:proofErr w:type="spellStart"/>
      <w:r w:rsidRPr="00FA1021">
        <w:rPr>
          <w:rFonts w:ascii="Times New Roman" w:hAnsi="Times New Roman"/>
          <w:lang w:val="en-US" w:eastAsia="es-ES_tradnl"/>
        </w:rPr>
        <w:t>Dervort</w:t>
      </w:r>
      <w:proofErr w:type="spellEnd"/>
      <w:r w:rsidRPr="00FA1021">
        <w:rPr>
          <w:rFonts w:ascii="Times New Roman" w:hAnsi="Times New Roman"/>
          <w:lang w:val="en-US" w:eastAsia="es-ES_tradnl"/>
        </w:rPr>
        <w:t xml:space="preserve">, DR, </w:t>
      </w:r>
      <w:proofErr w:type="spellStart"/>
      <w:r w:rsidRPr="00FA1021">
        <w:rPr>
          <w:rFonts w:ascii="Times New Roman" w:hAnsi="Times New Roman"/>
          <w:lang w:val="en-US" w:eastAsia="es-ES_tradnl"/>
        </w:rPr>
        <w:t>López</w:t>
      </w:r>
      <w:proofErr w:type="spellEnd"/>
      <w:r w:rsidRPr="00FA1021">
        <w:rPr>
          <w:rFonts w:ascii="Times New Roman" w:hAnsi="Times New Roman"/>
          <w:lang w:val="en-US" w:eastAsia="es-ES_tradnl"/>
        </w:rPr>
        <w:t xml:space="preserve"> DL, Orantes CM, Rodríguez DS. </w:t>
      </w:r>
      <w:r w:rsidRPr="00F20574">
        <w:rPr>
          <w:rFonts w:ascii="Times New Roman" w:hAnsi="Times New Roman"/>
          <w:lang w:val="en-US" w:eastAsia="es-ES_tradnl"/>
        </w:rPr>
        <w:t>Spatial distribution of unspecified chronic kidney disease in El Salvador by crop area cultivated and ambient temperature.  MEDICC Review 16 (2): 31-38.</w:t>
      </w:r>
    </w:p>
    <w:p w14:paraId="67793BE1" w14:textId="77777777" w:rsidR="00FD6E8B" w:rsidRPr="00F20574" w:rsidRDefault="00FD6E8B" w:rsidP="00B94762">
      <w:pPr>
        <w:pStyle w:val="Textonotaalfinal"/>
        <w:jc w:val="left"/>
        <w:rPr>
          <w:rFonts w:ascii="Times New Roman" w:hAnsi="Times New Roman"/>
          <w:sz w:val="22"/>
          <w:szCs w:val="22"/>
          <w:lang w:val="en-US"/>
        </w:rPr>
      </w:pPr>
    </w:p>
  </w:endnote>
  <w:endnote w:id="45">
    <w:p w14:paraId="504B91E0" w14:textId="77777777" w:rsidR="00FD6E8B" w:rsidRPr="00F20574" w:rsidRDefault="00FD6E8B" w:rsidP="006328F4">
      <w:pPr>
        <w:pStyle w:val="Textonotaalfinal"/>
        <w:jc w:val="left"/>
        <w:rPr>
          <w:rFonts w:ascii="Times New Roman" w:eastAsiaTheme="minorHAnsi" w:hAnsi="Times New Roman"/>
          <w:color w:val="000000"/>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eastAsiaTheme="minorHAnsi" w:hAnsi="Times New Roman"/>
          <w:color w:val="000000"/>
          <w:sz w:val="22"/>
          <w:szCs w:val="22"/>
          <w:lang w:val="en-US"/>
        </w:rPr>
        <w:t>Illanes</w:t>
      </w:r>
      <w:proofErr w:type="spellEnd"/>
      <w:r w:rsidRPr="00F20574">
        <w:rPr>
          <w:rFonts w:ascii="Times New Roman" w:eastAsiaTheme="minorHAnsi" w:hAnsi="Times New Roman"/>
          <w:color w:val="000000"/>
          <w:sz w:val="22"/>
          <w:szCs w:val="22"/>
          <w:lang w:val="en-US"/>
        </w:rPr>
        <w:t xml:space="preserve"> E, Sanchez-</w:t>
      </w:r>
      <w:proofErr w:type="spellStart"/>
      <w:r w:rsidRPr="00F20574">
        <w:rPr>
          <w:rFonts w:ascii="Times New Roman" w:eastAsiaTheme="minorHAnsi" w:hAnsi="Times New Roman"/>
          <w:color w:val="000000"/>
          <w:sz w:val="22"/>
          <w:szCs w:val="22"/>
          <w:lang w:val="en-US"/>
        </w:rPr>
        <w:t>Viamonte</w:t>
      </w:r>
      <w:proofErr w:type="spellEnd"/>
      <w:r w:rsidRPr="00F20574">
        <w:rPr>
          <w:rFonts w:ascii="Times New Roman" w:eastAsiaTheme="minorHAnsi" w:hAnsi="Times New Roman"/>
          <w:color w:val="000000"/>
          <w:sz w:val="22"/>
          <w:szCs w:val="22"/>
          <w:lang w:val="en-US"/>
        </w:rPr>
        <w:t xml:space="preserve"> J, Elias V, </w:t>
      </w:r>
      <w:proofErr w:type="spellStart"/>
      <w:r w:rsidRPr="00F20574">
        <w:rPr>
          <w:rFonts w:ascii="Times New Roman" w:eastAsiaTheme="minorHAnsi" w:hAnsi="Times New Roman"/>
          <w:color w:val="000000"/>
          <w:sz w:val="22"/>
          <w:szCs w:val="22"/>
          <w:lang w:val="en-US"/>
        </w:rPr>
        <w:t>Reveiz</w:t>
      </w:r>
      <w:proofErr w:type="spellEnd"/>
      <w:r w:rsidRPr="00F20574">
        <w:rPr>
          <w:rFonts w:ascii="Times New Roman" w:eastAsiaTheme="minorHAnsi" w:hAnsi="Times New Roman"/>
          <w:color w:val="000000"/>
          <w:sz w:val="22"/>
          <w:szCs w:val="22"/>
          <w:lang w:val="en-US"/>
        </w:rPr>
        <w:t xml:space="preserve"> L. Risk factors for chronic kidney disease of non-traditional causes: a systematic review. Rev </w:t>
      </w:r>
      <w:proofErr w:type="spellStart"/>
      <w:r w:rsidRPr="00F20574">
        <w:rPr>
          <w:rFonts w:ascii="Times New Roman" w:eastAsiaTheme="minorHAnsi" w:hAnsi="Times New Roman"/>
          <w:color w:val="000000"/>
          <w:sz w:val="22"/>
          <w:szCs w:val="22"/>
          <w:lang w:val="en-US"/>
        </w:rPr>
        <w:t>Panam</w:t>
      </w:r>
      <w:proofErr w:type="spellEnd"/>
      <w:r w:rsidRPr="00F20574">
        <w:rPr>
          <w:rFonts w:ascii="Times New Roman" w:eastAsiaTheme="minorHAnsi" w:hAnsi="Times New Roman"/>
          <w:color w:val="000000"/>
          <w:sz w:val="22"/>
          <w:szCs w:val="22"/>
          <w:lang w:val="en-US"/>
        </w:rPr>
        <w:t xml:space="preserve"> Salud </w:t>
      </w:r>
      <w:proofErr w:type="spellStart"/>
      <w:r w:rsidRPr="00F20574">
        <w:rPr>
          <w:rFonts w:ascii="Times New Roman" w:eastAsiaTheme="minorHAnsi" w:hAnsi="Times New Roman"/>
          <w:color w:val="000000"/>
          <w:sz w:val="22"/>
          <w:szCs w:val="22"/>
          <w:lang w:val="en-US"/>
        </w:rPr>
        <w:t>Publica</w:t>
      </w:r>
      <w:proofErr w:type="spellEnd"/>
      <w:r w:rsidRPr="00F20574">
        <w:rPr>
          <w:rFonts w:ascii="Times New Roman" w:eastAsiaTheme="minorHAnsi" w:hAnsi="Times New Roman"/>
          <w:color w:val="000000"/>
          <w:sz w:val="22"/>
          <w:szCs w:val="22"/>
          <w:lang w:val="en-US"/>
        </w:rPr>
        <w:t>. 2019;</w:t>
      </w:r>
      <w:proofErr w:type="gramStart"/>
      <w:r w:rsidRPr="00F20574">
        <w:rPr>
          <w:rFonts w:ascii="Times New Roman" w:eastAsiaTheme="minorHAnsi" w:hAnsi="Times New Roman"/>
          <w:color w:val="000000"/>
          <w:sz w:val="22"/>
          <w:szCs w:val="22"/>
          <w:lang w:val="en-US"/>
        </w:rPr>
        <w:t>43:e</w:t>
      </w:r>
      <w:proofErr w:type="gramEnd"/>
      <w:r w:rsidRPr="00F20574">
        <w:rPr>
          <w:rFonts w:ascii="Times New Roman" w:eastAsiaTheme="minorHAnsi" w:hAnsi="Times New Roman"/>
          <w:color w:val="000000"/>
          <w:sz w:val="22"/>
          <w:szCs w:val="22"/>
          <w:lang w:val="en-US"/>
        </w:rPr>
        <w:t>35.</w:t>
      </w:r>
    </w:p>
    <w:p w14:paraId="7E2812F7" w14:textId="77777777" w:rsidR="00FD6E8B" w:rsidRPr="00F20574" w:rsidRDefault="00FD6E8B" w:rsidP="006328F4">
      <w:pPr>
        <w:pStyle w:val="Textonotaalfinal"/>
        <w:jc w:val="left"/>
        <w:rPr>
          <w:rFonts w:ascii="Times New Roman" w:hAnsi="Times New Roman"/>
          <w:sz w:val="22"/>
          <w:szCs w:val="22"/>
          <w:lang w:val="en-US"/>
        </w:rPr>
      </w:pPr>
    </w:p>
  </w:endnote>
  <w:endnote w:id="46">
    <w:p w14:paraId="626C90B4" w14:textId="77777777" w:rsidR="00FD6E8B" w:rsidRPr="00FD6E8B" w:rsidRDefault="00FD6E8B" w:rsidP="006328F4">
      <w:pPr>
        <w:pStyle w:val="Textocomentario"/>
        <w:rPr>
          <w:rFonts w:ascii="Times New Roman" w:eastAsiaTheme="minorHAnsi" w:hAnsi="Times New Roman"/>
          <w:color w:val="000000"/>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eastAsiaTheme="minorHAnsi" w:hAnsi="Times New Roman"/>
          <w:color w:val="000000"/>
          <w:sz w:val="22"/>
          <w:szCs w:val="22"/>
          <w:lang w:val="en-US"/>
        </w:rPr>
        <w:t>Valcke</w:t>
      </w:r>
      <w:proofErr w:type="spellEnd"/>
      <w:r w:rsidRPr="00F20574">
        <w:rPr>
          <w:rFonts w:ascii="Times New Roman" w:eastAsiaTheme="minorHAnsi" w:hAnsi="Times New Roman"/>
          <w:color w:val="000000"/>
          <w:sz w:val="22"/>
          <w:szCs w:val="22"/>
          <w:lang w:val="en-US"/>
        </w:rPr>
        <w:t xml:space="preserve"> M, </w:t>
      </w:r>
      <w:proofErr w:type="spellStart"/>
      <w:r w:rsidRPr="00F20574">
        <w:rPr>
          <w:rFonts w:ascii="Times New Roman" w:eastAsiaTheme="minorHAnsi" w:hAnsi="Times New Roman"/>
          <w:color w:val="000000"/>
          <w:sz w:val="22"/>
          <w:szCs w:val="22"/>
          <w:lang w:val="en-US"/>
        </w:rPr>
        <w:t>Levasseur</w:t>
      </w:r>
      <w:proofErr w:type="spellEnd"/>
      <w:r w:rsidRPr="00F20574">
        <w:rPr>
          <w:rFonts w:ascii="Times New Roman" w:eastAsiaTheme="minorHAnsi" w:hAnsi="Times New Roman"/>
          <w:color w:val="000000"/>
          <w:sz w:val="22"/>
          <w:szCs w:val="22"/>
          <w:lang w:val="en-US"/>
        </w:rPr>
        <w:t xml:space="preserve"> ME, da Silva AS, </w:t>
      </w:r>
      <w:proofErr w:type="spellStart"/>
      <w:r w:rsidRPr="00F20574">
        <w:rPr>
          <w:rFonts w:ascii="Times New Roman" w:eastAsiaTheme="minorHAnsi" w:hAnsi="Times New Roman"/>
          <w:color w:val="000000"/>
          <w:sz w:val="22"/>
          <w:szCs w:val="22"/>
          <w:lang w:val="en-US"/>
        </w:rPr>
        <w:t>Wesseling</w:t>
      </w:r>
      <w:proofErr w:type="spellEnd"/>
      <w:r w:rsidRPr="00F20574">
        <w:rPr>
          <w:rFonts w:ascii="Times New Roman" w:eastAsiaTheme="minorHAnsi" w:hAnsi="Times New Roman"/>
          <w:color w:val="000000"/>
          <w:sz w:val="22"/>
          <w:szCs w:val="22"/>
          <w:lang w:val="en-US"/>
        </w:rPr>
        <w:t xml:space="preserve"> C. Pesticide exposures and chronic kidney disease of unknown etiology: an epidemiologic review. </w:t>
      </w:r>
      <w:r w:rsidRPr="00FD6E8B">
        <w:rPr>
          <w:rFonts w:ascii="Times New Roman" w:eastAsiaTheme="minorHAnsi" w:hAnsi="Times New Roman"/>
          <w:color w:val="000000"/>
          <w:sz w:val="22"/>
          <w:szCs w:val="22"/>
          <w:lang w:val="en-US"/>
        </w:rPr>
        <w:t>Environmental Health. 2017; 16:49.</w:t>
      </w:r>
    </w:p>
    <w:p w14:paraId="79F836B5" w14:textId="77777777" w:rsidR="00FD6E8B" w:rsidRPr="00FD6E8B" w:rsidRDefault="00FD6E8B" w:rsidP="006328F4">
      <w:pPr>
        <w:pStyle w:val="Textonotaalfinal"/>
        <w:jc w:val="left"/>
        <w:rPr>
          <w:rFonts w:ascii="Times New Roman" w:hAnsi="Times New Roman"/>
          <w:sz w:val="22"/>
          <w:szCs w:val="22"/>
          <w:lang w:val="en-US"/>
        </w:rPr>
      </w:pPr>
    </w:p>
  </w:endnote>
  <w:endnote w:id="47">
    <w:p w14:paraId="19B3A693" w14:textId="77777777" w:rsidR="00FD6E8B" w:rsidRPr="00F20574" w:rsidRDefault="00FD6E8B" w:rsidP="006328F4">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Wasserstein</w:t>
      </w:r>
      <w:r>
        <w:rPr>
          <w:rFonts w:ascii="Times New Roman" w:hAnsi="Times New Roman"/>
          <w:sz w:val="22"/>
          <w:szCs w:val="22"/>
          <w:lang w:val="en-US"/>
        </w:rPr>
        <w:t xml:space="preserve"> RL</w:t>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Schirm</w:t>
      </w:r>
      <w:proofErr w:type="spellEnd"/>
      <w:r>
        <w:rPr>
          <w:rFonts w:ascii="Times New Roman" w:hAnsi="Times New Roman"/>
          <w:sz w:val="22"/>
          <w:szCs w:val="22"/>
          <w:lang w:val="en-US"/>
        </w:rPr>
        <w:t xml:space="preserve"> </w:t>
      </w:r>
      <w:proofErr w:type="gramStart"/>
      <w:r>
        <w:rPr>
          <w:rFonts w:ascii="Times New Roman" w:hAnsi="Times New Roman"/>
          <w:sz w:val="22"/>
          <w:szCs w:val="22"/>
          <w:lang w:val="en-US"/>
        </w:rPr>
        <w:t xml:space="preserve">AL, </w:t>
      </w:r>
      <w:r w:rsidRPr="00F20574">
        <w:rPr>
          <w:rFonts w:ascii="Times New Roman" w:hAnsi="Times New Roman"/>
          <w:sz w:val="22"/>
          <w:szCs w:val="22"/>
          <w:lang w:val="en-US"/>
        </w:rPr>
        <w:t xml:space="preserve"> Lazar</w:t>
      </w:r>
      <w:proofErr w:type="gramEnd"/>
      <w:r>
        <w:rPr>
          <w:rFonts w:ascii="Times New Roman" w:hAnsi="Times New Roman"/>
          <w:sz w:val="22"/>
          <w:szCs w:val="22"/>
          <w:lang w:val="en-US"/>
        </w:rPr>
        <w:t xml:space="preserve"> NA</w:t>
      </w:r>
      <w:r w:rsidRPr="00F20574">
        <w:rPr>
          <w:rFonts w:ascii="Times New Roman" w:hAnsi="Times New Roman"/>
          <w:sz w:val="22"/>
          <w:szCs w:val="22"/>
          <w:lang w:val="en-US"/>
        </w:rPr>
        <w:t xml:space="preserve">. Moving to a World Beyond “p &lt; 0.05”. </w:t>
      </w:r>
      <w:proofErr w:type="spellStart"/>
      <w:r w:rsidRPr="00F20574">
        <w:rPr>
          <w:rFonts w:ascii="Times New Roman" w:hAnsi="Times New Roman"/>
          <w:sz w:val="22"/>
          <w:szCs w:val="22"/>
        </w:rPr>
        <w:t>The</w:t>
      </w:r>
      <w:proofErr w:type="spellEnd"/>
      <w:r w:rsidRPr="00F20574">
        <w:rPr>
          <w:rFonts w:ascii="Times New Roman" w:hAnsi="Times New Roman"/>
          <w:sz w:val="22"/>
          <w:szCs w:val="22"/>
        </w:rPr>
        <w:t xml:space="preserve"> American </w:t>
      </w:r>
      <w:proofErr w:type="spellStart"/>
      <w:r w:rsidRPr="00F20574">
        <w:rPr>
          <w:rFonts w:ascii="Times New Roman" w:hAnsi="Times New Roman"/>
          <w:sz w:val="22"/>
          <w:szCs w:val="22"/>
        </w:rPr>
        <w:t>Statistician</w:t>
      </w:r>
      <w:proofErr w:type="spellEnd"/>
      <w:r w:rsidRPr="00F20574">
        <w:rPr>
          <w:rFonts w:ascii="Times New Roman" w:hAnsi="Times New Roman"/>
          <w:sz w:val="22"/>
          <w:szCs w:val="22"/>
        </w:rPr>
        <w:t>.</w:t>
      </w:r>
      <w:r>
        <w:rPr>
          <w:rFonts w:ascii="Times New Roman" w:hAnsi="Times New Roman"/>
          <w:sz w:val="22"/>
          <w:szCs w:val="22"/>
        </w:rPr>
        <w:t xml:space="preserve"> </w:t>
      </w:r>
      <w:r w:rsidRPr="00F20574">
        <w:rPr>
          <w:rFonts w:ascii="Times New Roman" w:hAnsi="Times New Roman"/>
          <w:sz w:val="22"/>
          <w:szCs w:val="22"/>
        </w:rPr>
        <w:t>2019; 73(sup1): 1-19</w:t>
      </w:r>
    </w:p>
    <w:p w14:paraId="1C0A19F7" w14:textId="77777777" w:rsidR="00FD6E8B" w:rsidRPr="00F20574" w:rsidRDefault="00FD6E8B" w:rsidP="006328F4">
      <w:pPr>
        <w:pStyle w:val="Textonotaalfinal"/>
        <w:jc w:val="left"/>
        <w:rPr>
          <w:rFonts w:ascii="Times New Roman" w:hAnsi="Times New Roman"/>
          <w:sz w:val="22"/>
          <w:szCs w:val="22"/>
        </w:rPr>
      </w:pPr>
    </w:p>
  </w:endnote>
  <w:endnote w:id="48">
    <w:p w14:paraId="6E9A3460" w14:textId="77777777" w:rsidR="00FD6E8B" w:rsidRPr="00F20574" w:rsidRDefault="00FD6E8B" w:rsidP="00217DDB">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rPr>
        <w:t xml:space="preserve"> </w:t>
      </w:r>
      <w:proofErr w:type="spellStart"/>
      <w:r w:rsidRPr="00F20574">
        <w:rPr>
          <w:rFonts w:ascii="Times New Roman" w:hAnsi="Times New Roman"/>
          <w:sz w:val="22"/>
          <w:szCs w:val="22"/>
        </w:rPr>
        <w:t>Reveiz</w:t>
      </w:r>
      <w:proofErr w:type="spellEnd"/>
      <w:r w:rsidRPr="00F20574">
        <w:rPr>
          <w:rFonts w:ascii="Times New Roman" w:hAnsi="Times New Roman"/>
          <w:sz w:val="22"/>
          <w:szCs w:val="22"/>
        </w:rPr>
        <w:t xml:space="preserve"> L, </w:t>
      </w:r>
      <w:proofErr w:type="spellStart"/>
      <w:r w:rsidRPr="00F20574">
        <w:rPr>
          <w:rFonts w:ascii="Times New Roman" w:hAnsi="Times New Roman"/>
          <w:sz w:val="22"/>
          <w:szCs w:val="22"/>
        </w:rPr>
        <w:t>Haby</w:t>
      </w:r>
      <w:proofErr w:type="spellEnd"/>
      <w:r w:rsidRPr="00F20574">
        <w:rPr>
          <w:rFonts w:ascii="Times New Roman" w:hAnsi="Times New Roman"/>
          <w:sz w:val="22"/>
          <w:szCs w:val="22"/>
        </w:rPr>
        <w:t xml:space="preserve"> MM, Martínez-Vega R, Pinzón-Flores CE, </w:t>
      </w:r>
      <w:proofErr w:type="spellStart"/>
      <w:r w:rsidRPr="00F20574">
        <w:rPr>
          <w:rFonts w:ascii="Times New Roman" w:hAnsi="Times New Roman"/>
          <w:sz w:val="22"/>
          <w:szCs w:val="22"/>
        </w:rPr>
        <w:t>Elias</w:t>
      </w:r>
      <w:proofErr w:type="spellEnd"/>
      <w:r w:rsidRPr="00F20574">
        <w:rPr>
          <w:rFonts w:ascii="Times New Roman" w:hAnsi="Times New Roman"/>
          <w:sz w:val="22"/>
          <w:szCs w:val="22"/>
        </w:rPr>
        <w:t xml:space="preserve"> V, Smith E, et al. </w:t>
      </w:r>
      <w:r w:rsidRPr="00F20574">
        <w:rPr>
          <w:rFonts w:ascii="Times New Roman" w:hAnsi="Times New Roman"/>
          <w:sz w:val="22"/>
          <w:szCs w:val="22"/>
          <w:lang w:val="en-US"/>
        </w:rPr>
        <w:t xml:space="preserve">Risk of bias and confounding of observational studies of Zika virus infection: A scoping review of research protocols. </w:t>
      </w:r>
      <w:proofErr w:type="spellStart"/>
      <w:r w:rsidRPr="00F20574">
        <w:rPr>
          <w:rFonts w:ascii="Times New Roman" w:hAnsi="Times New Roman"/>
          <w:sz w:val="22"/>
          <w:szCs w:val="22"/>
          <w:lang w:val="en-US"/>
        </w:rPr>
        <w:t>PLoS</w:t>
      </w:r>
      <w:proofErr w:type="spellEnd"/>
      <w:r w:rsidRPr="00F20574">
        <w:rPr>
          <w:rFonts w:ascii="Times New Roman" w:hAnsi="Times New Roman"/>
          <w:sz w:val="22"/>
          <w:szCs w:val="22"/>
          <w:lang w:val="en-US"/>
        </w:rPr>
        <w:t xml:space="preserve"> ONE. 2017; 12(7): e0180220.</w:t>
      </w:r>
    </w:p>
    <w:p w14:paraId="2CD840B6" w14:textId="77777777" w:rsidR="00FD6E8B" w:rsidRPr="00F20574" w:rsidRDefault="00FD6E8B" w:rsidP="00217DDB">
      <w:pPr>
        <w:pStyle w:val="Textonotaalfinal"/>
        <w:jc w:val="left"/>
        <w:rPr>
          <w:rFonts w:ascii="Times New Roman" w:hAnsi="Times New Roman"/>
          <w:sz w:val="22"/>
          <w:szCs w:val="22"/>
          <w:lang w:val="en-US"/>
        </w:rPr>
      </w:pPr>
    </w:p>
  </w:endnote>
  <w:endnote w:id="49">
    <w:p w14:paraId="77E5D312" w14:textId="77777777" w:rsidR="00FD6E8B" w:rsidRPr="00724467" w:rsidRDefault="00FD6E8B" w:rsidP="00E777B2">
      <w:pPr>
        <w:pStyle w:val="Textonotaalfinal"/>
        <w:jc w:val="left"/>
        <w:rPr>
          <w:rFonts w:ascii="Times New Roman" w:hAnsi="Times New Roman"/>
          <w:sz w:val="22"/>
          <w:szCs w:val="22"/>
          <w:lang w:val="es-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Morgan DP, Roan CC. Renal function in persons occupationally exposed to pesticides. </w:t>
      </w:r>
      <w:proofErr w:type="spellStart"/>
      <w:r w:rsidRPr="00724467">
        <w:rPr>
          <w:rFonts w:ascii="Times New Roman" w:hAnsi="Times New Roman"/>
          <w:sz w:val="22"/>
          <w:szCs w:val="22"/>
          <w:lang w:val="es-US"/>
        </w:rPr>
        <w:t>Arch</w:t>
      </w:r>
      <w:proofErr w:type="spellEnd"/>
      <w:r w:rsidRPr="00724467">
        <w:rPr>
          <w:rFonts w:ascii="Times New Roman" w:hAnsi="Times New Roman"/>
          <w:sz w:val="22"/>
          <w:szCs w:val="22"/>
          <w:lang w:val="es-US"/>
        </w:rPr>
        <w:t xml:space="preserve"> </w:t>
      </w:r>
      <w:proofErr w:type="spellStart"/>
      <w:r w:rsidRPr="00724467">
        <w:rPr>
          <w:rFonts w:ascii="Times New Roman" w:hAnsi="Times New Roman"/>
          <w:sz w:val="22"/>
          <w:szCs w:val="22"/>
          <w:lang w:val="es-US"/>
        </w:rPr>
        <w:t>Environ</w:t>
      </w:r>
      <w:proofErr w:type="spellEnd"/>
      <w:r w:rsidRPr="00724467">
        <w:rPr>
          <w:rFonts w:ascii="Times New Roman" w:hAnsi="Times New Roman"/>
          <w:sz w:val="22"/>
          <w:szCs w:val="22"/>
          <w:lang w:val="es-US"/>
        </w:rPr>
        <w:t xml:space="preserve"> Health. 1969; 19: 633-636.</w:t>
      </w:r>
    </w:p>
    <w:p w14:paraId="46DF601C" w14:textId="77777777" w:rsidR="00FD6E8B" w:rsidRPr="00724467" w:rsidRDefault="00FD6E8B" w:rsidP="00E777B2">
      <w:pPr>
        <w:pStyle w:val="Textonotaalfinal"/>
        <w:jc w:val="left"/>
        <w:rPr>
          <w:rFonts w:ascii="Times New Roman" w:hAnsi="Times New Roman"/>
          <w:sz w:val="22"/>
          <w:szCs w:val="22"/>
          <w:lang w:val="es-US"/>
        </w:rPr>
      </w:pPr>
    </w:p>
  </w:endnote>
  <w:endnote w:id="50">
    <w:p w14:paraId="0276F4B5" w14:textId="77777777" w:rsidR="00FD6E8B" w:rsidRPr="00F20574" w:rsidRDefault="00FD6E8B" w:rsidP="00E777B2">
      <w:pPr>
        <w:pStyle w:val="Textonotapie"/>
        <w:rPr>
          <w:rFonts w:ascii="Times New Roman" w:hAnsi="Times New Roman"/>
          <w:sz w:val="22"/>
          <w:szCs w:val="22"/>
          <w:lang w:val="en-US" w:eastAsia="es-ES_tradnl"/>
        </w:rPr>
      </w:pPr>
      <w:r w:rsidRPr="00F20574">
        <w:rPr>
          <w:rStyle w:val="Refdenotaalfinal"/>
          <w:rFonts w:ascii="Times New Roman" w:hAnsi="Times New Roman"/>
          <w:sz w:val="22"/>
          <w:szCs w:val="22"/>
        </w:rPr>
        <w:endnoteRef/>
      </w:r>
      <w:r>
        <w:rPr>
          <w:rFonts w:ascii="Times New Roman" w:hAnsi="Times New Roman"/>
          <w:sz w:val="22"/>
          <w:szCs w:val="22"/>
          <w:lang w:val="es-ES_tradnl" w:eastAsia="es-ES_tradnl"/>
        </w:rPr>
        <w:t xml:space="preserve"> </w:t>
      </w:r>
      <w:r w:rsidRPr="00F20574">
        <w:rPr>
          <w:rFonts w:ascii="Times New Roman" w:hAnsi="Times New Roman"/>
          <w:sz w:val="22"/>
          <w:szCs w:val="22"/>
          <w:lang w:val="es-ES_tradnl" w:eastAsia="es-ES_tradnl"/>
        </w:rPr>
        <w:t xml:space="preserve">Sánchez AI, </w:t>
      </w:r>
      <w:proofErr w:type="spellStart"/>
      <w:r w:rsidRPr="00F20574">
        <w:rPr>
          <w:rFonts w:ascii="Times New Roman" w:hAnsi="Times New Roman"/>
          <w:sz w:val="22"/>
          <w:szCs w:val="22"/>
          <w:lang w:val="es-ES_tradnl" w:eastAsia="es-ES_tradnl"/>
        </w:rPr>
        <w:t>Torralbo</w:t>
      </w:r>
      <w:proofErr w:type="spellEnd"/>
      <w:r w:rsidRPr="00F20574">
        <w:rPr>
          <w:rFonts w:ascii="Times New Roman" w:hAnsi="Times New Roman"/>
          <w:sz w:val="22"/>
          <w:szCs w:val="22"/>
          <w:lang w:val="es-ES_tradnl" w:eastAsia="es-ES_tradnl"/>
        </w:rPr>
        <w:t xml:space="preserve"> A, Arroyo M, Luque M, </w:t>
      </w:r>
      <w:proofErr w:type="spellStart"/>
      <w:r w:rsidRPr="00F20574">
        <w:rPr>
          <w:rFonts w:ascii="Times New Roman" w:hAnsi="Times New Roman"/>
          <w:sz w:val="22"/>
          <w:szCs w:val="22"/>
          <w:lang w:val="es-ES_tradnl" w:eastAsia="es-ES_tradnl"/>
        </w:rPr>
        <w:t>Ruilope</w:t>
      </w:r>
      <w:proofErr w:type="spellEnd"/>
      <w:r w:rsidRPr="00F20574">
        <w:rPr>
          <w:rFonts w:ascii="Times New Roman" w:hAnsi="Times New Roman"/>
          <w:sz w:val="22"/>
          <w:szCs w:val="22"/>
          <w:lang w:val="es-ES_tradnl" w:eastAsia="es-ES_tradnl"/>
        </w:rPr>
        <w:t xml:space="preserve"> LM, Santos JL, et al. </w:t>
      </w:r>
      <w:r w:rsidRPr="00F20574">
        <w:rPr>
          <w:rFonts w:ascii="Times New Roman" w:hAnsi="Times New Roman"/>
          <w:sz w:val="22"/>
          <w:szCs w:val="22"/>
          <w:lang w:val="en-US" w:eastAsia="es-ES_tradnl"/>
        </w:rPr>
        <w:t xml:space="preserve">Occult lead intoxication as a cause of hypertension and renal failure. </w:t>
      </w:r>
      <w:proofErr w:type="spellStart"/>
      <w:r w:rsidRPr="00F20574">
        <w:rPr>
          <w:rFonts w:ascii="Times New Roman" w:hAnsi="Times New Roman"/>
          <w:sz w:val="22"/>
          <w:szCs w:val="22"/>
          <w:lang w:val="en-US" w:eastAsia="es-ES_tradnl"/>
        </w:rPr>
        <w:t>Nephrol</w:t>
      </w:r>
      <w:proofErr w:type="spellEnd"/>
      <w:r w:rsidRPr="00F20574">
        <w:rPr>
          <w:rFonts w:ascii="Times New Roman" w:hAnsi="Times New Roman"/>
          <w:sz w:val="22"/>
          <w:szCs w:val="22"/>
          <w:lang w:val="en-US" w:eastAsia="es-ES_tradnl"/>
        </w:rPr>
        <w:t xml:space="preserve"> Dial Transplant. 1996; 11 (9): 1775-1780.</w:t>
      </w:r>
    </w:p>
    <w:p w14:paraId="289671C3" w14:textId="77777777" w:rsidR="00FD6E8B" w:rsidRPr="00F20574" w:rsidRDefault="00FD6E8B" w:rsidP="00E777B2">
      <w:pPr>
        <w:pStyle w:val="Textonotapie"/>
        <w:rPr>
          <w:rFonts w:ascii="Times New Roman" w:hAnsi="Times New Roman"/>
          <w:sz w:val="22"/>
          <w:szCs w:val="22"/>
          <w:lang w:val="en-US"/>
        </w:rPr>
      </w:pPr>
    </w:p>
  </w:endnote>
  <w:endnote w:id="51">
    <w:p w14:paraId="2E970D8D" w14:textId="77777777" w:rsidR="00FD6E8B" w:rsidRPr="00F20574" w:rsidRDefault="00FD6E8B" w:rsidP="00E777B2">
      <w:pPr>
        <w:pStyle w:val="Textonotapie"/>
        <w:rPr>
          <w:rFonts w:ascii="Times New Roman" w:hAnsi="Times New Roman"/>
          <w:sz w:val="22"/>
          <w:szCs w:val="22"/>
          <w:lang w:val="en-US" w:eastAsia="es-ES_tradnl"/>
        </w:rPr>
      </w:pPr>
      <w:r w:rsidRPr="00F20574">
        <w:rPr>
          <w:rStyle w:val="Refdenotaalfinal"/>
          <w:rFonts w:ascii="Times New Roman" w:hAnsi="Times New Roman"/>
          <w:sz w:val="22"/>
          <w:szCs w:val="22"/>
        </w:rPr>
        <w:endnoteRef/>
      </w:r>
      <w:r>
        <w:rPr>
          <w:rFonts w:ascii="Times New Roman" w:hAnsi="Times New Roman"/>
          <w:sz w:val="22"/>
          <w:szCs w:val="22"/>
          <w:lang w:val="en-US" w:eastAsia="es-ES_tradnl"/>
        </w:rPr>
        <w:t xml:space="preserve"> </w:t>
      </w:r>
      <w:r w:rsidRPr="00F20574">
        <w:rPr>
          <w:rFonts w:ascii="Times New Roman" w:hAnsi="Times New Roman"/>
          <w:sz w:val="22"/>
          <w:szCs w:val="22"/>
          <w:lang w:val="en-US" w:eastAsia="es-ES_tradnl"/>
        </w:rPr>
        <w:t>Finn WF. Renal response to environmental toxins. Environmental Health Perspectives. 1977; 20: 15-26.</w:t>
      </w:r>
    </w:p>
    <w:p w14:paraId="73EF9E2E" w14:textId="77777777" w:rsidR="00FD6E8B" w:rsidRPr="00F20574" w:rsidRDefault="00FD6E8B" w:rsidP="00E777B2">
      <w:pPr>
        <w:pStyle w:val="Textonotapie"/>
        <w:rPr>
          <w:rFonts w:ascii="Times New Roman" w:hAnsi="Times New Roman"/>
          <w:sz w:val="22"/>
          <w:szCs w:val="22"/>
          <w:lang w:val="en-US"/>
        </w:rPr>
      </w:pPr>
    </w:p>
  </w:endnote>
  <w:endnote w:id="52">
    <w:p w14:paraId="0F75CF0F" w14:textId="77777777" w:rsidR="00FD6E8B" w:rsidRPr="00F20574" w:rsidRDefault="00FD6E8B" w:rsidP="00E777B2">
      <w:pPr>
        <w:pStyle w:val="Textonotaalfinal"/>
        <w:jc w:val="left"/>
        <w:rPr>
          <w:rFonts w:ascii="Times New Roman" w:hAnsi="Times New Roman"/>
          <w:sz w:val="22"/>
          <w:szCs w:val="22"/>
          <w:shd w:val="clear" w:color="auto" w:fill="FFFFFF"/>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r w:rsidRPr="00F20574">
        <w:rPr>
          <w:rFonts w:ascii="Times New Roman" w:hAnsi="Times New Roman"/>
          <w:sz w:val="22"/>
          <w:szCs w:val="22"/>
          <w:lang w:val="en-US"/>
        </w:rPr>
        <w:t xml:space="preserve">Li Q, Pang X, Yang H, Wang H, Shu Y. Deficiency of multidrug and toxin extrusion 1 enhances renal accumulation of </w:t>
      </w:r>
      <w:proofErr w:type="spellStart"/>
      <w:r w:rsidRPr="00F20574">
        <w:rPr>
          <w:rFonts w:ascii="Times New Roman" w:hAnsi="Times New Roman"/>
          <w:sz w:val="22"/>
          <w:szCs w:val="22"/>
          <w:lang w:val="en-US"/>
        </w:rPr>
        <w:t>paraquat</w:t>
      </w:r>
      <w:proofErr w:type="spellEnd"/>
      <w:r w:rsidRPr="00F20574">
        <w:rPr>
          <w:rFonts w:ascii="Times New Roman" w:hAnsi="Times New Roman"/>
          <w:sz w:val="22"/>
          <w:szCs w:val="22"/>
          <w:lang w:val="en-US"/>
        </w:rPr>
        <w:t xml:space="preserve"> and deteriorates kidney injury in mice. </w:t>
      </w:r>
      <w:proofErr w:type="spellStart"/>
      <w:r w:rsidRPr="00F20574">
        <w:rPr>
          <w:rFonts w:ascii="Times New Roman" w:hAnsi="Times New Roman"/>
          <w:sz w:val="22"/>
          <w:szCs w:val="22"/>
          <w:lang w:val="en-US"/>
        </w:rPr>
        <w:t>Mol</w:t>
      </w:r>
      <w:proofErr w:type="spellEnd"/>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Pharmacol</w:t>
      </w:r>
      <w:proofErr w:type="spellEnd"/>
      <w:r w:rsidRPr="00F20574">
        <w:rPr>
          <w:rFonts w:ascii="Times New Roman" w:hAnsi="Times New Roman"/>
          <w:sz w:val="22"/>
          <w:szCs w:val="22"/>
          <w:lang w:val="en-US"/>
        </w:rPr>
        <w:t xml:space="preserve">. 2011; </w:t>
      </w:r>
      <w:r w:rsidRPr="00F20574">
        <w:rPr>
          <w:rFonts w:ascii="Times New Roman" w:hAnsi="Times New Roman"/>
          <w:sz w:val="22"/>
          <w:szCs w:val="22"/>
          <w:shd w:val="clear" w:color="auto" w:fill="FFFFFF"/>
          <w:lang w:val="en-US"/>
        </w:rPr>
        <w:t>8(6):2476-2483.</w:t>
      </w:r>
    </w:p>
    <w:p w14:paraId="359532F7" w14:textId="77777777" w:rsidR="00FD6E8B" w:rsidRPr="00F20574" w:rsidRDefault="00FD6E8B" w:rsidP="00E777B2">
      <w:pPr>
        <w:pStyle w:val="Textonotaalfinal"/>
        <w:jc w:val="left"/>
        <w:rPr>
          <w:rFonts w:ascii="Times New Roman" w:hAnsi="Times New Roman"/>
          <w:sz w:val="22"/>
          <w:szCs w:val="22"/>
          <w:lang w:val="en-US"/>
        </w:rPr>
      </w:pPr>
    </w:p>
  </w:endnote>
  <w:endnote w:id="53">
    <w:p w14:paraId="37D0F045" w14:textId="77777777" w:rsidR="00FD6E8B" w:rsidRPr="00F20574" w:rsidRDefault="00FD6E8B" w:rsidP="00E777B2">
      <w:pPr>
        <w:pStyle w:val="Textonotapie"/>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eastAsia="es-ES_tradnl"/>
        </w:rPr>
        <w:t xml:space="preserve"> </w:t>
      </w:r>
      <w:r w:rsidRPr="00F20574">
        <w:rPr>
          <w:rFonts w:ascii="Times New Roman" w:hAnsi="Times New Roman"/>
          <w:sz w:val="22"/>
          <w:szCs w:val="22"/>
          <w:lang w:val="en-US" w:eastAsia="es-ES_tradnl"/>
        </w:rPr>
        <w:t xml:space="preserve">Ferraro PM, </w:t>
      </w:r>
      <w:proofErr w:type="spellStart"/>
      <w:r w:rsidRPr="00F20574">
        <w:rPr>
          <w:rFonts w:ascii="Times New Roman" w:hAnsi="Times New Roman"/>
          <w:sz w:val="22"/>
          <w:szCs w:val="22"/>
          <w:lang w:val="en-US" w:eastAsia="es-ES_tradnl"/>
        </w:rPr>
        <w:t>Costanzi</w:t>
      </w:r>
      <w:proofErr w:type="spellEnd"/>
      <w:r w:rsidRPr="00F20574">
        <w:rPr>
          <w:rFonts w:ascii="Times New Roman" w:hAnsi="Times New Roman"/>
          <w:sz w:val="22"/>
          <w:szCs w:val="22"/>
          <w:lang w:val="en-US" w:eastAsia="es-ES_tradnl"/>
        </w:rPr>
        <w:t xml:space="preserve"> S, </w:t>
      </w:r>
      <w:proofErr w:type="spellStart"/>
      <w:r w:rsidRPr="00F20574">
        <w:rPr>
          <w:rFonts w:ascii="Times New Roman" w:hAnsi="Times New Roman"/>
          <w:sz w:val="22"/>
          <w:szCs w:val="22"/>
          <w:lang w:val="en-US" w:eastAsia="es-ES_tradnl"/>
        </w:rPr>
        <w:t>Natacchia</w:t>
      </w:r>
      <w:proofErr w:type="spellEnd"/>
      <w:r w:rsidRPr="00F20574">
        <w:rPr>
          <w:rFonts w:ascii="Times New Roman" w:hAnsi="Times New Roman"/>
          <w:sz w:val="22"/>
          <w:szCs w:val="22"/>
          <w:lang w:val="en-US" w:eastAsia="es-ES_tradnl"/>
        </w:rPr>
        <w:t xml:space="preserve"> A, </w:t>
      </w:r>
      <w:proofErr w:type="spellStart"/>
      <w:r w:rsidRPr="00F20574">
        <w:rPr>
          <w:rFonts w:ascii="Times New Roman" w:hAnsi="Times New Roman"/>
          <w:sz w:val="22"/>
          <w:szCs w:val="22"/>
          <w:lang w:val="en-US" w:eastAsia="es-ES_tradnl"/>
        </w:rPr>
        <w:t>Sturniolo</w:t>
      </w:r>
      <w:proofErr w:type="spellEnd"/>
      <w:r w:rsidRPr="00F20574">
        <w:rPr>
          <w:rFonts w:ascii="Times New Roman" w:hAnsi="Times New Roman"/>
          <w:sz w:val="22"/>
          <w:szCs w:val="22"/>
          <w:lang w:val="en-US" w:eastAsia="es-ES_tradnl"/>
        </w:rPr>
        <w:t xml:space="preserve"> A, Gambaro G. Low level exposure to cadmium increases the risk of chronic kidney disease: analysis of the NHANES 1999-2006. BMC Public Health. 2010; 10: 34.</w:t>
      </w:r>
      <w:r w:rsidRPr="00F20574">
        <w:rPr>
          <w:rFonts w:ascii="Times New Roman" w:hAnsi="Times New Roman"/>
          <w:sz w:val="22"/>
          <w:szCs w:val="22"/>
          <w:lang w:val="en-US"/>
        </w:rPr>
        <w:t xml:space="preserve"> </w:t>
      </w:r>
    </w:p>
    <w:p w14:paraId="659E45EE" w14:textId="77777777" w:rsidR="00FD6E8B" w:rsidRPr="00F20574" w:rsidRDefault="00FD6E8B" w:rsidP="00E777B2">
      <w:pPr>
        <w:pStyle w:val="Textonotapie"/>
        <w:rPr>
          <w:rFonts w:ascii="Times New Roman" w:hAnsi="Times New Roman"/>
          <w:sz w:val="22"/>
          <w:szCs w:val="22"/>
          <w:lang w:val="en-US"/>
        </w:rPr>
      </w:pPr>
    </w:p>
  </w:endnote>
  <w:endnote w:id="54">
    <w:p w14:paraId="03EDA484" w14:textId="77777777" w:rsidR="00FD6E8B" w:rsidRPr="00F20574" w:rsidRDefault="00FD6E8B" w:rsidP="00E777B2">
      <w:pPr>
        <w:shd w:val="clear" w:color="auto" w:fill="FFFFFF"/>
        <w:spacing w:after="0" w:line="240" w:lineRule="auto"/>
        <w:outlineLvl w:val="2"/>
        <w:rPr>
          <w:rFonts w:ascii="Times New Roman" w:hAnsi="Times New Roman"/>
          <w:lang w:val="en-US"/>
        </w:rPr>
      </w:pPr>
      <w:r w:rsidRPr="00F20574">
        <w:rPr>
          <w:rStyle w:val="Refdenotaalfinal"/>
          <w:rFonts w:ascii="Times New Roman" w:hAnsi="Times New Roman"/>
        </w:rPr>
        <w:endnoteRef/>
      </w:r>
      <w:r>
        <w:rPr>
          <w:rFonts w:ascii="Times New Roman" w:hAnsi="Times New Roman"/>
          <w:lang w:val="en-US"/>
        </w:rPr>
        <w:t xml:space="preserve"> </w:t>
      </w:r>
      <w:proofErr w:type="spellStart"/>
      <w:r w:rsidRPr="00F20574">
        <w:rPr>
          <w:rFonts w:ascii="Times New Roman" w:hAnsi="Times New Roman"/>
          <w:lang w:val="en-US"/>
        </w:rPr>
        <w:t>Siddharth</w:t>
      </w:r>
      <w:proofErr w:type="spellEnd"/>
      <w:r w:rsidRPr="00F20574">
        <w:rPr>
          <w:rFonts w:ascii="Times New Roman" w:hAnsi="Times New Roman"/>
          <w:lang w:val="en-US"/>
        </w:rPr>
        <w:t xml:space="preserve"> M, </w:t>
      </w:r>
      <w:proofErr w:type="spellStart"/>
      <w:r w:rsidRPr="00F20574">
        <w:rPr>
          <w:rFonts w:ascii="Times New Roman" w:hAnsi="Times New Roman"/>
          <w:lang w:val="en-US"/>
        </w:rPr>
        <w:t>Datta</w:t>
      </w:r>
      <w:proofErr w:type="spellEnd"/>
      <w:r w:rsidRPr="00F20574">
        <w:rPr>
          <w:rFonts w:ascii="Times New Roman" w:hAnsi="Times New Roman"/>
          <w:lang w:val="en-US"/>
        </w:rPr>
        <w:t xml:space="preserve"> SK, Bansal S, Mustafa M, Banerjee BD, </w:t>
      </w:r>
      <w:proofErr w:type="spellStart"/>
      <w:r w:rsidRPr="00F20574">
        <w:rPr>
          <w:rFonts w:ascii="Times New Roman" w:hAnsi="Times New Roman"/>
          <w:lang w:val="en-US"/>
        </w:rPr>
        <w:t>Kalra</w:t>
      </w:r>
      <w:proofErr w:type="spellEnd"/>
      <w:r w:rsidRPr="00F20574">
        <w:rPr>
          <w:rFonts w:ascii="Times New Roman" w:hAnsi="Times New Roman"/>
          <w:lang w:val="en-US"/>
        </w:rPr>
        <w:t xml:space="preserve"> OP, et al. Study on organochlorine pesticide levels in chronic kidney disease patients: association with estimated glomerular filtration rate and oxidative stress. J </w:t>
      </w:r>
      <w:proofErr w:type="spellStart"/>
      <w:r w:rsidRPr="00F20574">
        <w:rPr>
          <w:rFonts w:ascii="Times New Roman" w:hAnsi="Times New Roman"/>
          <w:lang w:val="en-US"/>
        </w:rPr>
        <w:t>Biochem</w:t>
      </w:r>
      <w:proofErr w:type="spellEnd"/>
      <w:r w:rsidRPr="00F20574">
        <w:rPr>
          <w:rFonts w:ascii="Times New Roman" w:hAnsi="Times New Roman"/>
          <w:lang w:val="en-US"/>
        </w:rPr>
        <w:t xml:space="preserve"> </w:t>
      </w:r>
      <w:proofErr w:type="spellStart"/>
      <w:r w:rsidRPr="00F20574">
        <w:rPr>
          <w:rFonts w:ascii="Times New Roman" w:hAnsi="Times New Roman"/>
          <w:lang w:val="en-US"/>
        </w:rPr>
        <w:t>Mol</w:t>
      </w:r>
      <w:proofErr w:type="spellEnd"/>
      <w:r w:rsidRPr="00F20574">
        <w:rPr>
          <w:rFonts w:ascii="Times New Roman" w:hAnsi="Times New Roman"/>
          <w:lang w:val="en-US"/>
        </w:rPr>
        <w:t xml:space="preserve"> </w:t>
      </w:r>
      <w:proofErr w:type="spellStart"/>
      <w:r w:rsidRPr="00F20574">
        <w:rPr>
          <w:rFonts w:ascii="Times New Roman" w:hAnsi="Times New Roman"/>
          <w:lang w:val="en-US"/>
        </w:rPr>
        <w:t>Toxicol</w:t>
      </w:r>
      <w:proofErr w:type="spellEnd"/>
      <w:r w:rsidRPr="00F20574">
        <w:rPr>
          <w:rFonts w:ascii="Times New Roman" w:hAnsi="Times New Roman"/>
          <w:lang w:val="en-US"/>
        </w:rPr>
        <w:t>. 2012; 26(6):241-247.</w:t>
      </w:r>
    </w:p>
    <w:p w14:paraId="4ECD0264" w14:textId="77777777" w:rsidR="00FD6E8B" w:rsidRPr="00F20574" w:rsidRDefault="00FD6E8B" w:rsidP="00E777B2">
      <w:pPr>
        <w:shd w:val="clear" w:color="auto" w:fill="FFFFFF"/>
        <w:spacing w:after="0" w:line="240" w:lineRule="auto"/>
        <w:outlineLvl w:val="2"/>
        <w:rPr>
          <w:rFonts w:ascii="Times New Roman" w:hAnsi="Times New Roman"/>
          <w:lang w:val="en-US"/>
        </w:rPr>
      </w:pPr>
    </w:p>
  </w:endnote>
  <w:endnote w:id="55">
    <w:p w14:paraId="29E19723" w14:textId="77777777" w:rsidR="00FD6E8B" w:rsidRPr="00F20574" w:rsidRDefault="00FD6E8B" w:rsidP="00E777B2">
      <w:pPr>
        <w:shd w:val="clear" w:color="auto" w:fill="FFFFFF"/>
        <w:spacing w:after="0" w:line="240" w:lineRule="auto"/>
        <w:rPr>
          <w:rStyle w:val="Hipervnculo"/>
          <w:rFonts w:ascii="Times New Roman" w:hAnsi="Times New Roman"/>
          <w:lang w:val="en-US"/>
        </w:rPr>
      </w:pPr>
      <w:r w:rsidRPr="00F20574">
        <w:rPr>
          <w:rStyle w:val="Refdenotaalfinal"/>
          <w:rFonts w:ascii="Times New Roman" w:hAnsi="Times New Roman"/>
        </w:rPr>
        <w:endnoteRef/>
      </w:r>
      <w:r>
        <w:rPr>
          <w:rFonts w:ascii="Times New Roman" w:hAnsi="Times New Roman"/>
          <w:lang w:val="en-US"/>
        </w:rPr>
        <w:t xml:space="preserve"> </w:t>
      </w:r>
      <w:r w:rsidRPr="00F20574">
        <w:rPr>
          <w:rFonts w:ascii="Times New Roman" w:hAnsi="Times New Roman"/>
          <w:lang w:val="en-US"/>
        </w:rPr>
        <w:t>Ling-I H, Fang-I H, Yuan-Hung W, Tai-</w:t>
      </w:r>
      <w:proofErr w:type="spellStart"/>
      <w:r w:rsidRPr="00F20574">
        <w:rPr>
          <w:rFonts w:ascii="Times New Roman" w:hAnsi="Times New Roman"/>
          <w:lang w:val="en-US"/>
        </w:rPr>
        <w:t>Shuan</w:t>
      </w:r>
      <w:proofErr w:type="spellEnd"/>
      <w:r w:rsidRPr="00F20574">
        <w:rPr>
          <w:rFonts w:ascii="Times New Roman" w:hAnsi="Times New Roman"/>
          <w:lang w:val="en-US"/>
        </w:rPr>
        <w:t xml:space="preserve"> L, </w:t>
      </w:r>
      <w:proofErr w:type="spellStart"/>
      <w:r w:rsidRPr="00F20574">
        <w:rPr>
          <w:rFonts w:ascii="Times New Roman" w:hAnsi="Times New Roman"/>
          <w:lang w:val="en-US"/>
        </w:rPr>
        <w:t>Meei-Maan</w:t>
      </w:r>
      <w:proofErr w:type="spellEnd"/>
      <w:r w:rsidRPr="00F20574">
        <w:rPr>
          <w:rFonts w:ascii="Times New Roman" w:hAnsi="Times New Roman"/>
          <w:lang w:val="en-US"/>
        </w:rPr>
        <w:t xml:space="preserve"> W, </w:t>
      </w:r>
      <w:proofErr w:type="spellStart"/>
      <w:r w:rsidRPr="00F20574">
        <w:rPr>
          <w:rFonts w:ascii="Times New Roman" w:hAnsi="Times New Roman"/>
          <w:lang w:val="en-US"/>
        </w:rPr>
        <w:t>Chien</w:t>
      </w:r>
      <w:proofErr w:type="spellEnd"/>
      <w:r w:rsidRPr="00F20574">
        <w:rPr>
          <w:rFonts w:ascii="Times New Roman" w:hAnsi="Times New Roman"/>
          <w:lang w:val="en-US"/>
        </w:rPr>
        <w:t>-Jen C, et al. A</w:t>
      </w:r>
      <w:r w:rsidRPr="00F20574">
        <w:rPr>
          <w:rFonts w:ascii="Times New Roman" w:hAnsi="Times New Roman"/>
          <w:spacing w:val="-5"/>
          <w:lang w:val="en-US"/>
        </w:rPr>
        <w:t>rsenic exposure from drinking water and the incidence of CKD in low to moderate exposed areas of Taiwan:</w:t>
      </w:r>
      <w:r>
        <w:rPr>
          <w:rFonts w:ascii="Times New Roman" w:hAnsi="Times New Roman"/>
          <w:spacing w:val="-5"/>
          <w:lang w:val="en-US"/>
        </w:rPr>
        <w:t xml:space="preserve"> </w:t>
      </w:r>
      <w:r w:rsidRPr="00F20574">
        <w:rPr>
          <w:rFonts w:ascii="Times New Roman" w:hAnsi="Times New Roman"/>
          <w:spacing w:val="-5"/>
          <w:lang w:val="en-US"/>
        </w:rPr>
        <w:t>A 14 prospective study. Am J Kidney Dis. 2017;70(6):787.</w:t>
      </w:r>
    </w:p>
    <w:p w14:paraId="4E6FE744" w14:textId="77777777" w:rsidR="00FD6E8B" w:rsidRPr="00F20574" w:rsidRDefault="00FD6E8B" w:rsidP="00E777B2">
      <w:pPr>
        <w:shd w:val="clear" w:color="auto" w:fill="FFFFFF"/>
        <w:spacing w:after="0" w:line="240" w:lineRule="auto"/>
        <w:rPr>
          <w:rFonts w:ascii="Times New Roman" w:hAnsi="Times New Roman"/>
          <w:color w:val="000000"/>
          <w:spacing w:val="-5"/>
          <w:lang w:val="en-US"/>
        </w:rPr>
      </w:pPr>
    </w:p>
  </w:endnote>
  <w:endnote w:id="56">
    <w:p w14:paraId="4B85EAE3" w14:textId="77777777" w:rsidR="00FD6E8B" w:rsidRPr="00F20574" w:rsidRDefault="00FD6E8B" w:rsidP="00E777B2">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Bhupindervir</w:t>
      </w:r>
      <w:proofErr w:type="spellEnd"/>
      <w:r w:rsidRPr="00F20574">
        <w:rPr>
          <w:rFonts w:ascii="Times New Roman" w:hAnsi="Times New Roman"/>
          <w:sz w:val="22"/>
          <w:szCs w:val="22"/>
          <w:lang w:val="en-US"/>
        </w:rPr>
        <w:t xml:space="preserve"> B, </w:t>
      </w:r>
      <w:proofErr w:type="spellStart"/>
      <w:r w:rsidRPr="00F20574">
        <w:rPr>
          <w:rFonts w:ascii="Times New Roman" w:hAnsi="Times New Roman"/>
          <w:sz w:val="22"/>
          <w:szCs w:val="22"/>
          <w:lang w:val="en-US"/>
        </w:rPr>
        <w:t>Kera</w:t>
      </w:r>
      <w:proofErr w:type="spellEnd"/>
      <w:r w:rsidRPr="00F20574">
        <w:rPr>
          <w:rFonts w:ascii="Times New Roman" w:hAnsi="Times New Roman"/>
          <w:sz w:val="22"/>
          <w:szCs w:val="22"/>
          <w:lang w:val="en-US"/>
        </w:rPr>
        <w:t xml:space="preserve"> A, </w:t>
      </w:r>
      <w:proofErr w:type="spellStart"/>
      <w:r w:rsidRPr="00F20574">
        <w:rPr>
          <w:rFonts w:ascii="Times New Roman" w:hAnsi="Times New Roman"/>
          <w:sz w:val="22"/>
          <w:szCs w:val="22"/>
          <w:lang w:val="en-US"/>
        </w:rPr>
        <w:t>Sandhir</w:t>
      </w:r>
      <w:proofErr w:type="spellEnd"/>
      <w:r w:rsidRPr="00F20574">
        <w:rPr>
          <w:rFonts w:ascii="Times New Roman" w:hAnsi="Times New Roman"/>
          <w:sz w:val="22"/>
          <w:szCs w:val="22"/>
          <w:lang w:val="en-US"/>
        </w:rPr>
        <w:t xml:space="preserve"> R. Attenuation of cellular antioxidant defense mechanisms in kidneys of rats intoxicated with </w:t>
      </w:r>
      <w:proofErr w:type="spellStart"/>
      <w:r w:rsidRPr="00F20574">
        <w:rPr>
          <w:rFonts w:ascii="Times New Roman" w:hAnsi="Times New Roman"/>
          <w:sz w:val="22"/>
          <w:szCs w:val="22"/>
          <w:lang w:val="en-US"/>
        </w:rPr>
        <w:t>carbofuran</w:t>
      </w:r>
      <w:proofErr w:type="spellEnd"/>
      <w:r w:rsidRPr="00F20574">
        <w:rPr>
          <w:rFonts w:ascii="Times New Roman" w:hAnsi="Times New Roman"/>
          <w:sz w:val="22"/>
          <w:szCs w:val="22"/>
          <w:lang w:val="en-US"/>
        </w:rPr>
        <w:t xml:space="preserve">. J </w:t>
      </w:r>
      <w:proofErr w:type="spellStart"/>
      <w:r w:rsidRPr="00F20574">
        <w:rPr>
          <w:rFonts w:ascii="Times New Roman" w:hAnsi="Times New Roman"/>
          <w:sz w:val="22"/>
          <w:szCs w:val="22"/>
          <w:lang w:val="en-US"/>
        </w:rPr>
        <w:t>Biochem</w:t>
      </w:r>
      <w:proofErr w:type="spellEnd"/>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Mol</w:t>
      </w:r>
      <w:proofErr w:type="spellEnd"/>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Toxicol</w:t>
      </w:r>
      <w:proofErr w:type="spellEnd"/>
      <w:r w:rsidRPr="00F20574">
        <w:rPr>
          <w:rFonts w:ascii="Times New Roman" w:hAnsi="Times New Roman"/>
          <w:sz w:val="22"/>
          <w:szCs w:val="22"/>
          <w:lang w:val="en-US"/>
        </w:rPr>
        <w:t>. 2012; 26:393-398.</w:t>
      </w:r>
    </w:p>
    <w:p w14:paraId="6B90DC8E" w14:textId="77777777" w:rsidR="00FD6E8B" w:rsidRPr="00F20574" w:rsidRDefault="00FD6E8B" w:rsidP="00E777B2">
      <w:pPr>
        <w:pStyle w:val="Textonotaalfinal"/>
        <w:jc w:val="left"/>
        <w:rPr>
          <w:rFonts w:ascii="Times New Roman" w:hAnsi="Times New Roman"/>
          <w:sz w:val="22"/>
          <w:szCs w:val="22"/>
          <w:lang w:val="en-US"/>
        </w:rPr>
      </w:pPr>
    </w:p>
  </w:endnote>
  <w:endnote w:id="57">
    <w:p w14:paraId="107972A6" w14:textId="77777777" w:rsidR="00FD6E8B" w:rsidRPr="00F20574" w:rsidRDefault="00FD6E8B" w:rsidP="00E777B2">
      <w:pPr>
        <w:spacing w:after="0" w:line="240" w:lineRule="auto"/>
        <w:rPr>
          <w:rFonts w:ascii="Times New Roman" w:hAnsi="Times New Roman"/>
          <w:lang w:eastAsia="es-ES_tradnl"/>
        </w:rPr>
      </w:pPr>
      <w:r w:rsidRPr="00F20574">
        <w:rPr>
          <w:rStyle w:val="Refdenotaalfinal"/>
          <w:rFonts w:ascii="Times New Roman" w:hAnsi="Times New Roman"/>
        </w:rPr>
        <w:endnoteRef/>
      </w:r>
      <w:r w:rsidRPr="00F20574">
        <w:rPr>
          <w:rFonts w:ascii="Times New Roman" w:hAnsi="Times New Roman"/>
          <w:lang w:val="en-US" w:eastAsia="es-ES_tradnl"/>
        </w:rPr>
        <w:t xml:space="preserve"> Draper C. Study confirms glyphosate causes liver and kidney failure. </w:t>
      </w:r>
      <w:r w:rsidRPr="00F20574">
        <w:rPr>
          <w:rFonts w:ascii="Times New Roman" w:hAnsi="Times New Roman"/>
          <w:lang w:val="es-ES_tradnl" w:eastAsia="es-ES_tradnl"/>
        </w:rPr>
        <w:t xml:space="preserve">Natural News </w:t>
      </w:r>
      <w:proofErr w:type="spellStart"/>
      <w:r w:rsidRPr="00F20574">
        <w:rPr>
          <w:rFonts w:ascii="Times New Roman" w:hAnsi="Times New Roman"/>
          <w:lang w:val="es-ES_tradnl" w:eastAsia="es-ES_tradnl"/>
        </w:rPr>
        <w:t>Features</w:t>
      </w:r>
      <w:proofErr w:type="spellEnd"/>
      <w:r w:rsidRPr="00F20574">
        <w:rPr>
          <w:rFonts w:ascii="Times New Roman" w:hAnsi="Times New Roman"/>
          <w:lang w:val="es-ES_tradnl" w:eastAsia="es-ES_tradnl"/>
        </w:rPr>
        <w:t xml:space="preserve">; c2018. [Internet]. [citado 17 de agosto de 2019]. Disponible en: </w:t>
      </w:r>
      <w:hyperlink r:id="rId8" w:history="1">
        <w:r w:rsidRPr="00F20574">
          <w:rPr>
            <w:rStyle w:val="Hipervnculo"/>
            <w:rFonts w:ascii="Times New Roman" w:hAnsi="Times New Roman"/>
            <w:lang w:val="es-ES_tradnl" w:eastAsia="es-ES_tradnl"/>
          </w:rPr>
          <w:t>https://www.natural.news/2015-09-30-study-confirms-glyphosate-causes-liver-and-kidney-failure.html</w:t>
        </w:r>
      </w:hyperlink>
      <w:r w:rsidRPr="00F20574">
        <w:rPr>
          <w:rFonts w:ascii="Times New Roman" w:hAnsi="Times New Roman"/>
          <w:lang w:val="es-ES_tradnl" w:eastAsia="es-ES_tradnl"/>
        </w:rPr>
        <w:t xml:space="preserve"> </w:t>
      </w:r>
    </w:p>
    <w:p w14:paraId="1E2FF40B" w14:textId="77777777" w:rsidR="00FD6E8B" w:rsidRPr="00F20574" w:rsidRDefault="00FD6E8B" w:rsidP="00E777B2">
      <w:pPr>
        <w:spacing w:after="0" w:line="240" w:lineRule="auto"/>
        <w:rPr>
          <w:rFonts w:ascii="Times New Roman" w:hAnsi="Times New Roman"/>
          <w:color w:val="0000FF"/>
          <w:u w:val="single"/>
          <w:lang w:val="es-ES_tradnl"/>
        </w:rPr>
      </w:pPr>
    </w:p>
  </w:endnote>
  <w:endnote w:id="58">
    <w:p w14:paraId="30B20424" w14:textId="77777777" w:rsidR="00FD6E8B" w:rsidRPr="00F20574" w:rsidRDefault="00FD6E8B" w:rsidP="00E777B2">
      <w:pPr>
        <w:pStyle w:val="Textonotaalfinal"/>
        <w:jc w:val="left"/>
        <w:rPr>
          <w:rStyle w:val="Hipervnculo"/>
          <w:rFonts w:ascii="Times New Roman" w:hAnsi="Times New Roman"/>
          <w:sz w:val="22"/>
          <w:szCs w:val="22"/>
          <w:lang w:val="es-E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Rosencranz</w:t>
      </w:r>
      <w:proofErr w:type="spellEnd"/>
      <w:r w:rsidRPr="00F20574">
        <w:rPr>
          <w:rFonts w:ascii="Times New Roman" w:hAnsi="Times New Roman"/>
          <w:sz w:val="22"/>
          <w:szCs w:val="22"/>
          <w:lang w:val="en-US"/>
        </w:rPr>
        <w:t xml:space="preserve"> A, </w:t>
      </w:r>
      <w:proofErr w:type="spellStart"/>
      <w:r w:rsidRPr="00F20574">
        <w:rPr>
          <w:rFonts w:ascii="Times New Roman" w:hAnsi="Times New Roman"/>
          <w:sz w:val="22"/>
          <w:szCs w:val="22"/>
          <w:lang w:val="en-US"/>
        </w:rPr>
        <w:t>Bhawnani</w:t>
      </w:r>
      <w:proofErr w:type="spellEnd"/>
      <w:r w:rsidRPr="00F20574">
        <w:rPr>
          <w:rFonts w:ascii="Times New Roman" w:hAnsi="Times New Roman"/>
          <w:sz w:val="22"/>
          <w:szCs w:val="22"/>
          <w:lang w:val="en-US"/>
        </w:rPr>
        <w:t xml:space="preserve"> G, Rai A. Monsanto’s pesticide is top suspect behind mysterious kidney disease. </w:t>
      </w:r>
      <w:proofErr w:type="spellStart"/>
      <w:r w:rsidRPr="00F20574">
        <w:rPr>
          <w:rFonts w:ascii="Times New Roman" w:hAnsi="Times New Roman"/>
          <w:sz w:val="22"/>
          <w:szCs w:val="22"/>
        </w:rPr>
        <w:t>Truthout</w:t>
      </w:r>
      <w:proofErr w:type="spellEnd"/>
      <w:r w:rsidRPr="00F20574">
        <w:rPr>
          <w:rFonts w:ascii="Times New Roman" w:hAnsi="Times New Roman"/>
          <w:sz w:val="22"/>
          <w:szCs w:val="22"/>
        </w:rPr>
        <w:t xml:space="preserve">; c2019. </w:t>
      </w:r>
      <w:r w:rsidRPr="00F20574">
        <w:rPr>
          <w:rFonts w:ascii="Times New Roman" w:hAnsi="Times New Roman"/>
          <w:sz w:val="22"/>
          <w:szCs w:val="22"/>
          <w:lang w:val="es-ES"/>
        </w:rPr>
        <w:t xml:space="preserve">[Internet]. [citado 17 de agosto de 2019]. Disponible en: </w:t>
      </w:r>
      <w:hyperlink r:id="rId9" w:history="1">
        <w:r w:rsidRPr="00F20574">
          <w:rPr>
            <w:rStyle w:val="Hipervnculo"/>
            <w:rFonts w:ascii="Times New Roman" w:hAnsi="Times New Roman"/>
            <w:sz w:val="22"/>
            <w:szCs w:val="22"/>
            <w:lang w:val="es-ES"/>
          </w:rPr>
          <w:t>http://www.truth-out.org/news/item/34899-monsanto-s-pesticide-is-top-suspect-behind-mysterious-kidney-disease</w:t>
        </w:r>
      </w:hyperlink>
    </w:p>
    <w:p w14:paraId="3855B11F" w14:textId="77777777" w:rsidR="00FD6E8B" w:rsidRPr="00F20574" w:rsidRDefault="00FD6E8B" w:rsidP="00E777B2">
      <w:pPr>
        <w:pStyle w:val="Textonotaalfinal"/>
        <w:jc w:val="left"/>
        <w:rPr>
          <w:rFonts w:ascii="Times New Roman" w:hAnsi="Times New Roman"/>
          <w:sz w:val="22"/>
          <w:szCs w:val="22"/>
          <w:lang w:val="es-ES"/>
        </w:rPr>
      </w:pPr>
    </w:p>
  </w:endnote>
  <w:endnote w:id="59">
    <w:p w14:paraId="3A138CC0" w14:textId="77777777" w:rsidR="00FD6E8B" w:rsidRPr="00F20574" w:rsidRDefault="00FD6E8B" w:rsidP="00E777B2">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Seneff</w:t>
      </w:r>
      <w:proofErr w:type="spellEnd"/>
      <w:r w:rsidRPr="00F20574">
        <w:rPr>
          <w:rFonts w:ascii="Times New Roman" w:hAnsi="Times New Roman"/>
          <w:sz w:val="22"/>
          <w:szCs w:val="22"/>
          <w:lang w:val="en-US"/>
        </w:rPr>
        <w:t xml:space="preserve"> S, Orlando LF. Glyphosate Substitution for Glycine During Protein Synthesis as a Causal Factor in Mesoamerican Nephropathy. J Environ Anal </w:t>
      </w:r>
      <w:proofErr w:type="spellStart"/>
      <w:r w:rsidRPr="00F20574">
        <w:rPr>
          <w:rFonts w:ascii="Times New Roman" w:hAnsi="Times New Roman"/>
          <w:sz w:val="22"/>
          <w:szCs w:val="22"/>
          <w:lang w:val="en-US"/>
        </w:rPr>
        <w:t>Toxicol</w:t>
      </w:r>
      <w:proofErr w:type="spellEnd"/>
      <w:r w:rsidRPr="00F20574">
        <w:rPr>
          <w:rFonts w:ascii="Times New Roman" w:hAnsi="Times New Roman"/>
          <w:sz w:val="22"/>
          <w:szCs w:val="22"/>
          <w:lang w:val="en-US"/>
        </w:rPr>
        <w:t xml:space="preserve">. 2018; 8: 541. </w:t>
      </w:r>
    </w:p>
    <w:p w14:paraId="1B0B7286" w14:textId="77777777" w:rsidR="00FD6E8B" w:rsidRPr="00F20574" w:rsidRDefault="00FD6E8B" w:rsidP="00E777B2">
      <w:pPr>
        <w:pStyle w:val="Textonotaalfinal"/>
        <w:jc w:val="left"/>
        <w:rPr>
          <w:rFonts w:ascii="Times New Roman" w:hAnsi="Times New Roman"/>
          <w:sz w:val="22"/>
          <w:szCs w:val="22"/>
          <w:lang w:val="en-US"/>
        </w:rPr>
      </w:pPr>
    </w:p>
  </w:endnote>
  <w:endnote w:id="60">
    <w:p w14:paraId="2135512E" w14:textId="77777777" w:rsidR="00FD6E8B" w:rsidRPr="00F20574" w:rsidRDefault="00FD6E8B" w:rsidP="00E777B2">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Jayasumana</w:t>
      </w:r>
      <w:proofErr w:type="spellEnd"/>
      <w:r w:rsidRPr="00F20574">
        <w:rPr>
          <w:rFonts w:ascii="Times New Roman" w:hAnsi="Times New Roman"/>
          <w:sz w:val="22"/>
          <w:szCs w:val="22"/>
          <w:lang w:val="en-US"/>
        </w:rPr>
        <w:t xml:space="preserve"> C. Chronic Interstitial Nephritis in Agricultural Communities (CINAC) in Sri Lanka Seminars in Nephrology, Vol</w:t>
      </w:r>
      <w:r>
        <w:rPr>
          <w:rFonts w:ascii="Times New Roman" w:hAnsi="Times New Roman"/>
          <w:sz w:val="22"/>
          <w:szCs w:val="22"/>
          <w:lang w:val="en-US"/>
        </w:rPr>
        <w:t xml:space="preserve"> </w:t>
      </w:r>
      <w:r w:rsidRPr="00F20574">
        <w:rPr>
          <w:rFonts w:ascii="Times New Roman" w:hAnsi="Times New Roman"/>
          <w:sz w:val="22"/>
          <w:szCs w:val="22"/>
          <w:lang w:val="en-US"/>
        </w:rPr>
        <w:t>39, No</w:t>
      </w:r>
      <w:r>
        <w:rPr>
          <w:rFonts w:ascii="Times New Roman" w:hAnsi="Times New Roman"/>
          <w:sz w:val="22"/>
          <w:szCs w:val="22"/>
          <w:lang w:val="en-US"/>
        </w:rPr>
        <w:t xml:space="preserve"> </w:t>
      </w:r>
      <w:r w:rsidRPr="00F20574">
        <w:rPr>
          <w:rFonts w:ascii="Times New Roman" w:hAnsi="Times New Roman"/>
          <w:sz w:val="22"/>
          <w:szCs w:val="22"/>
          <w:lang w:val="en-US"/>
        </w:rPr>
        <w:t>3, May</w:t>
      </w:r>
      <w:r>
        <w:rPr>
          <w:rFonts w:ascii="Times New Roman" w:hAnsi="Times New Roman"/>
          <w:sz w:val="22"/>
          <w:szCs w:val="22"/>
          <w:lang w:val="en-US"/>
        </w:rPr>
        <w:t xml:space="preserve"> </w:t>
      </w:r>
      <w:r w:rsidRPr="00F20574">
        <w:rPr>
          <w:rFonts w:ascii="Times New Roman" w:hAnsi="Times New Roman"/>
          <w:sz w:val="22"/>
          <w:szCs w:val="22"/>
          <w:lang w:val="en-US"/>
        </w:rPr>
        <w:t>2019, pp278-283</w:t>
      </w:r>
      <w:r>
        <w:rPr>
          <w:rFonts w:ascii="Times New Roman" w:hAnsi="Times New Roman"/>
          <w:sz w:val="22"/>
          <w:szCs w:val="22"/>
          <w:lang w:val="en-US"/>
        </w:rPr>
        <w:t>.</w:t>
      </w:r>
    </w:p>
    <w:p w14:paraId="157804AA" w14:textId="77777777" w:rsidR="00FD6E8B" w:rsidRPr="00F20574" w:rsidRDefault="00FD6E8B" w:rsidP="00E777B2">
      <w:pPr>
        <w:pStyle w:val="Textonotaalfinal"/>
        <w:jc w:val="left"/>
        <w:rPr>
          <w:rFonts w:ascii="Times New Roman" w:hAnsi="Times New Roman"/>
          <w:sz w:val="22"/>
          <w:szCs w:val="22"/>
          <w:lang w:val="en-US"/>
        </w:rPr>
      </w:pPr>
    </w:p>
  </w:endnote>
  <w:endnote w:id="61">
    <w:p w14:paraId="2491D25F" w14:textId="77777777" w:rsidR="00CF7F0D" w:rsidRPr="00F20574" w:rsidRDefault="00CF7F0D" w:rsidP="00CF7F0D">
      <w:pPr>
        <w:pStyle w:val="Textonotaalfinal"/>
        <w:jc w:val="left"/>
        <w:rPr>
          <w:rFonts w:ascii="Times New Roman" w:hAnsi="Times New Roman"/>
          <w:sz w:val="22"/>
          <w:szCs w:val="22"/>
        </w:rPr>
      </w:pPr>
      <w:r w:rsidRPr="00F20574">
        <w:rPr>
          <w:rStyle w:val="Refdenotaalfinal"/>
          <w:rFonts w:ascii="Times New Roman" w:hAnsi="Times New Roman"/>
          <w:sz w:val="22"/>
          <w:szCs w:val="22"/>
        </w:rPr>
        <w:endnoteRef/>
      </w:r>
      <w:r w:rsidRPr="00F20574">
        <w:rPr>
          <w:rFonts w:ascii="Times New Roman" w:hAnsi="Times New Roman"/>
          <w:sz w:val="22"/>
          <w:szCs w:val="22"/>
        </w:rPr>
        <w:t xml:space="preserve"> Manual de Plaguicidas de Centro América. Ingredientes activos. Universidad Nacional Heredia de Costa Rica: Instituto Regional de Estudio</w:t>
      </w:r>
      <w:r>
        <w:rPr>
          <w:rFonts w:ascii="Times New Roman" w:hAnsi="Times New Roman"/>
          <w:sz w:val="22"/>
          <w:szCs w:val="22"/>
        </w:rPr>
        <w:t xml:space="preserve">s en Sustancias Tóxicas. c2019 </w:t>
      </w:r>
      <w:r w:rsidRPr="00F20574">
        <w:rPr>
          <w:rFonts w:ascii="Times New Roman" w:hAnsi="Times New Roman"/>
          <w:sz w:val="22"/>
          <w:szCs w:val="22"/>
        </w:rPr>
        <w:t xml:space="preserve">[Internet].  [citado 17 de agosto de 2019]. Disponible en: </w:t>
      </w:r>
      <w:hyperlink r:id="rId10" w:history="1">
        <w:r w:rsidRPr="00F20574">
          <w:rPr>
            <w:rStyle w:val="Hipervnculo"/>
            <w:rFonts w:ascii="Times New Roman" w:hAnsi="Times New Roman"/>
            <w:sz w:val="22"/>
            <w:szCs w:val="22"/>
          </w:rPr>
          <w:t>http://www.plaguicidasdecentroamerica.una.ac.cr/index.php/base-de-datos-menu</w:t>
        </w:r>
      </w:hyperlink>
      <w:r w:rsidRPr="00F20574">
        <w:rPr>
          <w:rFonts w:ascii="Times New Roman" w:hAnsi="Times New Roman"/>
          <w:sz w:val="22"/>
          <w:szCs w:val="22"/>
        </w:rPr>
        <w:t xml:space="preserve"> </w:t>
      </w:r>
    </w:p>
    <w:p w14:paraId="09405DBB" w14:textId="77777777" w:rsidR="00CF7F0D" w:rsidRPr="00F20574" w:rsidRDefault="00CF7F0D" w:rsidP="00CF7F0D">
      <w:pPr>
        <w:pStyle w:val="Textonotaalfinal"/>
        <w:jc w:val="left"/>
        <w:rPr>
          <w:rFonts w:ascii="Times New Roman" w:hAnsi="Times New Roman"/>
          <w:sz w:val="22"/>
          <w:szCs w:val="22"/>
        </w:rPr>
      </w:pPr>
    </w:p>
  </w:endnote>
  <w:endnote w:id="62">
    <w:p w14:paraId="055892E6" w14:textId="77777777" w:rsidR="00CF7F0D" w:rsidRPr="00F20574" w:rsidRDefault="00CF7F0D" w:rsidP="00CF7F0D">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sidRPr="00F20574">
        <w:rPr>
          <w:rFonts w:ascii="Times New Roman" w:hAnsi="Times New Roman"/>
          <w:sz w:val="22"/>
          <w:szCs w:val="22"/>
          <w:lang w:val="en-US"/>
        </w:rPr>
        <w:t xml:space="preserve"> </w:t>
      </w:r>
      <w:proofErr w:type="spellStart"/>
      <w:r w:rsidRPr="00F20574">
        <w:rPr>
          <w:rFonts w:ascii="Times New Roman" w:hAnsi="Times New Roman"/>
          <w:sz w:val="22"/>
          <w:szCs w:val="22"/>
          <w:lang w:val="en-US"/>
        </w:rPr>
        <w:t>Vaziri</w:t>
      </w:r>
      <w:proofErr w:type="spellEnd"/>
      <w:r w:rsidRPr="00F20574">
        <w:rPr>
          <w:rFonts w:ascii="Times New Roman" w:hAnsi="Times New Roman"/>
          <w:sz w:val="22"/>
          <w:szCs w:val="22"/>
          <w:lang w:val="en-US"/>
        </w:rPr>
        <w:t xml:space="preserve"> ND, Ness RL, </w:t>
      </w:r>
      <w:proofErr w:type="spellStart"/>
      <w:r w:rsidRPr="00F20574">
        <w:rPr>
          <w:rFonts w:ascii="Times New Roman" w:hAnsi="Times New Roman"/>
          <w:sz w:val="22"/>
          <w:szCs w:val="22"/>
          <w:lang w:val="en-US"/>
        </w:rPr>
        <w:t>Fairshter</w:t>
      </w:r>
      <w:proofErr w:type="spellEnd"/>
      <w:r w:rsidRPr="00F20574">
        <w:rPr>
          <w:rFonts w:ascii="Times New Roman" w:hAnsi="Times New Roman"/>
          <w:sz w:val="22"/>
          <w:szCs w:val="22"/>
          <w:lang w:val="en-US"/>
        </w:rPr>
        <w:t xml:space="preserve"> RD, Smith WR, Rosen SM. Nephrotoxicity of </w:t>
      </w:r>
      <w:proofErr w:type="spellStart"/>
      <w:r w:rsidRPr="00F20574">
        <w:rPr>
          <w:rFonts w:ascii="Times New Roman" w:hAnsi="Times New Roman"/>
          <w:sz w:val="22"/>
          <w:szCs w:val="22"/>
          <w:lang w:val="en-US"/>
        </w:rPr>
        <w:t>paraquat</w:t>
      </w:r>
      <w:proofErr w:type="spellEnd"/>
      <w:r w:rsidRPr="00F20574">
        <w:rPr>
          <w:rFonts w:ascii="Times New Roman" w:hAnsi="Times New Roman"/>
          <w:sz w:val="22"/>
          <w:szCs w:val="22"/>
          <w:lang w:val="en-US"/>
        </w:rPr>
        <w:t xml:space="preserve"> in man. Arch Intern Med. 1979; 139 (2): 172.</w:t>
      </w:r>
    </w:p>
    <w:p w14:paraId="32082B5E" w14:textId="77777777" w:rsidR="00CF7F0D" w:rsidRPr="00F20574" w:rsidRDefault="00CF7F0D" w:rsidP="00CF7F0D">
      <w:pPr>
        <w:pStyle w:val="Textonotaalfinal"/>
        <w:jc w:val="left"/>
        <w:rPr>
          <w:rFonts w:ascii="Times New Roman" w:hAnsi="Times New Roman"/>
          <w:sz w:val="22"/>
          <w:szCs w:val="22"/>
          <w:lang w:val="en-US"/>
        </w:rPr>
      </w:pPr>
      <w:r w:rsidRPr="00F20574">
        <w:rPr>
          <w:rFonts w:ascii="Times New Roman" w:hAnsi="Times New Roman"/>
          <w:sz w:val="22"/>
          <w:szCs w:val="22"/>
          <w:lang w:val="en-US"/>
        </w:rPr>
        <w:t xml:space="preserve"> </w:t>
      </w:r>
    </w:p>
  </w:endnote>
  <w:endnote w:id="63">
    <w:p w14:paraId="7E747642" w14:textId="77777777" w:rsidR="00CF7F0D" w:rsidRPr="00F20574" w:rsidRDefault="00CF7F0D" w:rsidP="00CF7F0D">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r w:rsidRPr="00F20574">
        <w:rPr>
          <w:rFonts w:ascii="Times New Roman" w:hAnsi="Times New Roman"/>
          <w:sz w:val="22"/>
          <w:szCs w:val="22"/>
          <w:lang w:val="en-US"/>
        </w:rPr>
        <w:t xml:space="preserve">Kim S, Gil HW, Yang JO, Lee EY, Hong SY. The clinical features of acute kidney injury in patients with acute </w:t>
      </w:r>
      <w:proofErr w:type="spellStart"/>
      <w:r w:rsidRPr="00F20574">
        <w:rPr>
          <w:rFonts w:ascii="Times New Roman" w:hAnsi="Times New Roman"/>
          <w:sz w:val="22"/>
          <w:szCs w:val="22"/>
          <w:lang w:val="en-US"/>
        </w:rPr>
        <w:t>paraquat</w:t>
      </w:r>
      <w:proofErr w:type="spellEnd"/>
      <w:r w:rsidRPr="00F20574">
        <w:rPr>
          <w:rFonts w:ascii="Times New Roman" w:hAnsi="Times New Roman"/>
          <w:sz w:val="22"/>
          <w:szCs w:val="22"/>
          <w:lang w:val="en-US"/>
        </w:rPr>
        <w:t xml:space="preserve"> intoxication. Nephrology Dialysis Transplantation. 2009; 24(4): 1226–1232.</w:t>
      </w:r>
    </w:p>
    <w:p w14:paraId="54E9BC42" w14:textId="77777777" w:rsidR="00CF7F0D" w:rsidRPr="00F20574" w:rsidRDefault="00CF7F0D" w:rsidP="00CF7F0D">
      <w:pPr>
        <w:pStyle w:val="Textonotaalfinal"/>
        <w:jc w:val="left"/>
        <w:rPr>
          <w:rFonts w:ascii="Times New Roman" w:hAnsi="Times New Roman"/>
          <w:sz w:val="22"/>
          <w:szCs w:val="22"/>
          <w:lang w:val="en-US"/>
        </w:rPr>
      </w:pPr>
    </w:p>
  </w:endnote>
  <w:endnote w:id="64">
    <w:p w14:paraId="16AE84A2" w14:textId="77777777" w:rsidR="00FD6E8B" w:rsidRPr="00F20574" w:rsidRDefault="00FD6E8B" w:rsidP="005B78E9">
      <w:pPr>
        <w:pStyle w:val="Textonotaalfinal"/>
        <w:jc w:val="left"/>
        <w:rPr>
          <w:rFonts w:ascii="Times New Roman" w:hAnsi="Times New Roman"/>
          <w:sz w:val="22"/>
          <w:szCs w:val="22"/>
          <w:lang w:val="en-US"/>
        </w:rPr>
      </w:pPr>
      <w:r w:rsidRPr="00F20574">
        <w:rPr>
          <w:rStyle w:val="Refdenotaalfinal"/>
          <w:rFonts w:ascii="Times New Roman" w:hAnsi="Times New Roman"/>
          <w:sz w:val="22"/>
          <w:szCs w:val="22"/>
        </w:rPr>
        <w:endnoteRef/>
      </w:r>
      <w:r>
        <w:rPr>
          <w:rFonts w:ascii="Times New Roman" w:hAnsi="Times New Roman"/>
          <w:sz w:val="22"/>
          <w:szCs w:val="22"/>
          <w:lang w:val="en-US"/>
        </w:rPr>
        <w:t xml:space="preserve"> </w:t>
      </w:r>
      <w:proofErr w:type="spellStart"/>
      <w:r w:rsidRPr="00F20574">
        <w:rPr>
          <w:rFonts w:ascii="Times New Roman" w:hAnsi="Times New Roman"/>
          <w:sz w:val="22"/>
          <w:szCs w:val="22"/>
          <w:lang w:val="en-US"/>
        </w:rPr>
        <w:t>Kjellstrom</w:t>
      </w:r>
      <w:proofErr w:type="spellEnd"/>
      <w:r w:rsidRPr="00F20574">
        <w:rPr>
          <w:rFonts w:ascii="Times New Roman" w:hAnsi="Times New Roman"/>
          <w:sz w:val="22"/>
          <w:szCs w:val="22"/>
          <w:lang w:val="en-US"/>
        </w:rPr>
        <w:t xml:space="preserve"> T, Crowe J. Climate change, workplace heat exposure, and occupational health and productivity in Central </w:t>
      </w:r>
      <w:proofErr w:type="spellStart"/>
      <w:r w:rsidRPr="00F20574">
        <w:rPr>
          <w:rFonts w:ascii="Times New Roman" w:hAnsi="Times New Roman"/>
          <w:sz w:val="22"/>
          <w:szCs w:val="22"/>
          <w:lang w:val="en-US"/>
        </w:rPr>
        <w:t>América</w:t>
      </w:r>
      <w:proofErr w:type="spellEnd"/>
      <w:r w:rsidRPr="00F20574">
        <w:rPr>
          <w:rFonts w:ascii="Times New Roman" w:hAnsi="Times New Roman"/>
          <w:sz w:val="22"/>
          <w:szCs w:val="22"/>
          <w:lang w:val="en-US"/>
        </w:rPr>
        <w:t>.</w:t>
      </w:r>
      <w:r>
        <w:rPr>
          <w:rFonts w:ascii="Times New Roman" w:hAnsi="Times New Roman"/>
          <w:sz w:val="22"/>
          <w:szCs w:val="22"/>
          <w:lang w:val="en-US"/>
        </w:rPr>
        <w:t xml:space="preserve"> </w:t>
      </w:r>
      <w:proofErr w:type="spellStart"/>
      <w:r>
        <w:rPr>
          <w:rFonts w:ascii="Times New Roman" w:hAnsi="Times New Roman"/>
          <w:sz w:val="22"/>
          <w:szCs w:val="22"/>
          <w:lang w:val="en-US"/>
        </w:rPr>
        <w:t>Int</w:t>
      </w:r>
      <w:proofErr w:type="spellEnd"/>
      <w:r>
        <w:rPr>
          <w:rFonts w:ascii="Times New Roman" w:hAnsi="Times New Roman"/>
          <w:sz w:val="22"/>
          <w:szCs w:val="22"/>
          <w:lang w:val="en-US"/>
        </w:rPr>
        <w:t xml:space="preserve"> J </w:t>
      </w:r>
      <w:proofErr w:type="spellStart"/>
      <w:r>
        <w:rPr>
          <w:rFonts w:ascii="Times New Roman" w:hAnsi="Times New Roman"/>
          <w:sz w:val="22"/>
          <w:szCs w:val="22"/>
          <w:lang w:val="en-US"/>
        </w:rPr>
        <w:t>Occup</w:t>
      </w:r>
      <w:proofErr w:type="spellEnd"/>
      <w:r>
        <w:rPr>
          <w:rFonts w:ascii="Times New Roman" w:hAnsi="Times New Roman"/>
          <w:sz w:val="22"/>
          <w:szCs w:val="22"/>
          <w:lang w:val="en-US"/>
        </w:rPr>
        <w:t xml:space="preserve"> Environ Health. 20</w:t>
      </w:r>
      <w:r w:rsidRPr="00F20574">
        <w:rPr>
          <w:rFonts w:ascii="Times New Roman" w:hAnsi="Times New Roman"/>
          <w:sz w:val="22"/>
          <w:szCs w:val="22"/>
          <w:lang w:val="en-US"/>
        </w:rPr>
        <w:t>11; 17(3):270-281.</w:t>
      </w:r>
    </w:p>
    <w:p w14:paraId="40230854" w14:textId="77777777" w:rsidR="00FD6E8B" w:rsidRPr="00F20574" w:rsidRDefault="00FD6E8B" w:rsidP="005B78E9">
      <w:pPr>
        <w:pStyle w:val="Textonotaalfinal"/>
        <w:jc w:val="left"/>
        <w:rPr>
          <w:rFonts w:ascii="Times New Roman" w:hAnsi="Times New Roman"/>
          <w:sz w:val="22"/>
          <w:szCs w:val="22"/>
          <w:lang w:val="en-US"/>
        </w:rPr>
      </w:pPr>
    </w:p>
  </w:endnote>
  <w:endnote w:id="65">
    <w:p w14:paraId="1B035150" w14:textId="77777777" w:rsidR="00FD6E8B" w:rsidRPr="00F20574" w:rsidRDefault="00FD6E8B" w:rsidP="005B78E9">
      <w:pPr>
        <w:shd w:val="clear" w:color="auto" w:fill="FFFFFF"/>
        <w:spacing w:after="0" w:line="240" w:lineRule="auto"/>
        <w:rPr>
          <w:rFonts w:ascii="Times New Roman" w:hAnsi="Times New Roman"/>
          <w:lang w:val="en-US"/>
        </w:rPr>
      </w:pPr>
      <w:r w:rsidRPr="00F20574">
        <w:rPr>
          <w:rStyle w:val="Refdenotaalfinal"/>
          <w:rFonts w:ascii="Times New Roman" w:hAnsi="Times New Roman"/>
        </w:rPr>
        <w:endnoteRef/>
      </w:r>
      <w:r w:rsidRPr="00F20574">
        <w:rPr>
          <w:rFonts w:ascii="Times New Roman" w:hAnsi="Times New Roman"/>
          <w:lang w:val="en-US" w:eastAsia="es-ES_tradnl"/>
        </w:rPr>
        <w:t xml:space="preserve"> Delgado O. Heat stress assessment among workers in a Nicaraguan sugarcane farm. Glob Health Action. 2009 Nov </w:t>
      </w:r>
      <w:proofErr w:type="gramStart"/>
      <w:r w:rsidRPr="00F20574">
        <w:rPr>
          <w:rFonts w:ascii="Times New Roman" w:hAnsi="Times New Roman"/>
          <w:lang w:val="en-US" w:eastAsia="es-ES_tradnl"/>
        </w:rPr>
        <w:t>11;2:10</w:t>
      </w:r>
      <w:proofErr w:type="gramEnd"/>
      <w:r w:rsidRPr="00F20574">
        <w:rPr>
          <w:rFonts w:ascii="Times New Roman" w:hAnsi="Times New Roman"/>
          <w:lang w:val="en-US" w:eastAsia="es-ES_tradnl"/>
        </w:rPr>
        <w:t>.3402/gha.v2i0.2069.</w:t>
      </w:r>
      <w:r w:rsidRPr="00F20574">
        <w:rPr>
          <w:rFonts w:ascii="Times New Roman" w:hAnsi="Times New Roman"/>
          <w:lang w:val="en-US"/>
        </w:rPr>
        <w:t xml:space="preserve"> </w:t>
      </w:r>
    </w:p>
    <w:p w14:paraId="695338E3" w14:textId="77777777" w:rsidR="00FD6E8B" w:rsidRPr="00F20574" w:rsidRDefault="00FD6E8B" w:rsidP="005B78E9">
      <w:pPr>
        <w:shd w:val="clear" w:color="auto" w:fill="FFFFFF"/>
        <w:spacing w:after="0" w:line="240" w:lineRule="auto"/>
        <w:rPr>
          <w:rFonts w:ascii="Times New Roman" w:hAnsi="Times New Roman"/>
          <w:lang w:val="en-US"/>
        </w:rPr>
      </w:pPr>
    </w:p>
  </w:endnote>
  <w:endnote w:id="66">
    <w:p w14:paraId="6BDD52FD" w14:textId="77777777" w:rsidR="00FD6E8B" w:rsidRPr="00FA1021" w:rsidRDefault="00FD6E8B" w:rsidP="005B78E9">
      <w:pPr>
        <w:shd w:val="clear" w:color="auto" w:fill="FFFFFF"/>
        <w:spacing w:after="0" w:line="240" w:lineRule="auto"/>
        <w:rPr>
          <w:rFonts w:ascii="Times New Roman" w:hAnsi="Times New Roman"/>
          <w:lang w:val="en-US"/>
        </w:rPr>
      </w:pPr>
      <w:r w:rsidRPr="00F20574">
        <w:rPr>
          <w:rStyle w:val="Refdenotaalfinal"/>
          <w:rFonts w:ascii="Times New Roman" w:hAnsi="Times New Roman"/>
        </w:rPr>
        <w:endnoteRef/>
      </w:r>
      <w:r w:rsidRPr="00F20574">
        <w:rPr>
          <w:rFonts w:ascii="Times New Roman" w:hAnsi="Times New Roman"/>
          <w:lang w:val="en-US"/>
        </w:rPr>
        <w:t xml:space="preserve"> </w:t>
      </w:r>
      <w:proofErr w:type="spellStart"/>
      <w:r w:rsidRPr="00F20574">
        <w:rPr>
          <w:rFonts w:ascii="Times New Roman" w:hAnsi="Times New Roman"/>
          <w:lang w:val="en-US"/>
        </w:rPr>
        <w:t>Wesseling</w:t>
      </w:r>
      <w:proofErr w:type="spellEnd"/>
      <w:r w:rsidRPr="00F20574">
        <w:rPr>
          <w:rFonts w:ascii="Times New Roman" w:hAnsi="Times New Roman"/>
          <w:lang w:val="en-US"/>
        </w:rPr>
        <w:t xml:space="preserve"> C, Aragón A, González M, Weiss I, Glaser J, </w:t>
      </w:r>
      <w:proofErr w:type="spellStart"/>
      <w:r w:rsidRPr="00F20574">
        <w:rPr>
          <w:rFonts w:ascii="Times New Roman" w:hAnsi="Times New Roman"/>
          <w:lang w:val="en-US"/>
        </w:rPr>
        <w:t>Rivard</w:t>
      </w:r>
      <w:proofErr w:type="spellEnd"/>
      <w:r w:rsidRPr="00F20574">
        <w:rPr>
          <w:rFonts w:ascii="Times New Roman" w:hAnsi="Times New Roman"/>
          <w:lang w:val="en-US"/>
        </w:rPr>
        <w:t xml:space="preserve"> CJ, et al. Heat stress, hydration and uric acid: a cross sectional study in workers of three occupations in a hotspot of Mesoamerican ne</w:t>
      </w:r>
      <w:r w:rsidRPr="00F20574">
        <w:rPr>
          <w:rFonts w:ascii="Times New Roman" w:hAnsi="Times New Roman"/>
          <w:lang w:val="en-US"/>
        </w:rPr>
        <w:softHyphen/>
        <w:t xml:space="preserve">phropathy in Nicaragua. </w:t>
      </w:r>
      <w:r w:rsidRPr="00FA1021">
        <w:rPr>
          <w:rFonts w:ascii="Times New Roman" w:hAnsi="Times New Roman"/>
          <w:lang w:val="en-US"/>
        </w:rPr>
        <w:t>BMJ Open. 2016; 6(12</w:t>
      </w:r>
      <w:proofErr w:type="gramStart"/>
      <w:r w:rsidRPr="00FA1021">
        <w:rPr>
          <w:rFonts w:ascii="Times New Roman" w:hAnsi="Times New Roman"/>
          <w:lang w:val="en-US"/>
        </w:rPr>
        <w:t>):e</w:t>
      </w:r>
      <w:proofErr w:type="gramEnd"/>
      <w:r w:rsidRPr="00FA1021">
        <w:rPr>
          <w:rFonts w:ascii="Times New Roman" w:hAnsi="Times New Roman"/>
          <w:lang w:val="en-US"/>
        </w:rPr>
        <w:t>011034.</w:t>
      </w:r>
    </w:p>
    <w:p w14:paraId="24C5AF05" w14:textId="77777777" w:rsidR="00FD6E8B" w:rsidRPr="00FA1021" w:rsidRDefault="00FD6E8B" w:rsidP="005B78E9">
      <w:pPr>
        <w:shd w:val="clear" w:color="auto" w:fill="FFFFFF"/>
        <w:spacing w:after="0" w:line="240" w:lineRule="auto"/>
        <w:rPr>
          <w:rFonts w:ascii="Times New Roman" w:hAnsi="Times New Roman"/>
          <w:lang w:val="en-US"/>
        </w:rPr>
      </w:pPr>
      <w:r w:rsidRPr="00FA1021">
        <w:rPr>
          <w:rFonts w:ascii="Times New Roman" w:hAnsi="Times New Roman"/>
          <w:lang w:val="en-US"/>
        </w:rPr>
        <w:t xml:space="preserve"> </w:t>
      </w:r>
    </w:p>
  </w:endnote>
  <w:endnote w:id="67">
    <w:p w14:paraId="207A83A8" w14:textId="77777777" w:rsidR="00FD6E8B" w:rsidRPr="00F20574" w:rsidRDefault="00FD6E8B" w:rsidP="005B78E9">
      <w:pPr>
        <w:spacing w:after="0" w:line="240" w:lineRule="auto"/>
        <w:rPr>
          <w:rFonts w:ascii="Times New Roman" w:hAnsi="Times New Roman"/>
          <w:lang w:val="en-US"/>
        </w:rPr>
      </w:pPr>
      <w:r w:rsidRPr="00F20574">
        <w:rPr>
          <w:rStyle w:val="Refdenotaalfinal"/>
          <w:rFonts w:ascii="Times New Roman" w:hAnsi="Times New Roman"/>
        </w:rPr>
        <w:endnoteRef/>
      </w:r>
      <w:r w:rsidRPr="00F20574">
        <w:rPr>
          <w:rFonts w:ascii="Times New Roman" w:hAnsi="Times New Roman"/>
          <w:lang w:val="en-US"/>
        </w:rPr>
        <w:t xml:space="preserve"> Silva LC, </w:t>
      </w:r>
      <w:proofErr w:type="spellStart"/>
      <w:r w:rsidRPr="00F20574">
        <w:rPr>
          <w:rFonts w:ascii="Times New Roman" w:hAnsi="Times New Roman"/>
          <w:lang w:val="en-US"/>
        </w:rPr>
        <w:t>Ordúñez</w:t>
      </w:r>
      <w:proofErr w:type="spellEnd"/>
      <w:r w:rsidRPr="00F20574">
        <w:rPr>
          <w:rFonts w:ascii="Times New Roman" w:hAnsi="Times New Roman"/>
          <w:lang w:val="en-US"/>
        </w:rPr>
        <w:t xml:space="preserve"> P. Chronic Kidney Disease in Central American Agricultural Communities:</w:t>
      </w:r>
    </w:p>
    <w:p w14:paraId="17199961" w14:textId="77777777" w:rsidR="00FD6E8B" w:rsidRPr="00F20574" w:rsidRDefault="00FD6E8B" w:rsidP="005B78E9">
      <w:pPr>
        <w:spacing w:after="0" w:line="240" w:lineRule="auto"/>
        <w:rPr>
          <w:rFonts w:ascii="Times New Roman" w:hAnsi="Times New Roman"/>
          <w:lang w:val="es-ES_tradnl"/>
        </w:rPr>
      </w:pPr>
      <w:r w:rsidRPr="00F20574">
        <w:rPr>
          <w:rFonts w:ascii="Times New Roman" w:hAnsi="Times New Roman"/>
          <w:lang w:val="en-US"/>
        </w:rPr>
        <w:t xml:space="preserve">Challenges for Epidemiology and Public Health. </w:t>
      </w:r>
      <w:r w:rsidRPr="00F20574">
        <w:rPr>
          <w:rFonts w:ascii="Times New Roman" w:hAnsi="Times New Roman"/>
          <w:lang w:val="es-ES_tradnl"/>
        </w:rPr>
        <w:t>MEDICC Rev. 2014 16(2):66–71.</w:t>
      </w:r>
    </w:p>
    <w:p w14:paraId="4C1DCD71" w14:textId="77777777" w:rsidR="00FD6E8B" w:rsidRPr="00F20574" w:rsidRDefault="00FD6E8B" w:rsidP="005B78E9">
      <w:pPr>
        <w:spacing w:after="0" w:line="240" w:lineRule="auto"/>
        <w:rPr>
          <w:rFonts w:ascii="Times New Roman" w:hAnsi="Times New Roman"/>
          <w:lang w:val="es-ES_tradnl"/>
        </w:rPr>
      </w:pPr>
    </w:p>
  </w:endnote>
  <w:endnote w:id="68">
    <w:p w14:paraId="1E0B70E6" w14:textId="77777777" w:rsidR="00FD6E8B" w:rsidRPr="00F20574" w:rsidRDefault="00FD6E8B" w:rsidP="00E56FE8">
      <w:pPr>
        <w:spacing w:after="0" w:line="240" w:lineRule="auto"/>
        <w:rPr>
          <w:rStyle w:val="mixed-citation"/>
          <w:rFonts w:ascii="Times New Roman" w:hAnsi="Times New Roman"/>
          <w:lang w:val="en-US"/>
        </w:rPr>
      </w:pPr>
      <w:r w:rsidRPr="00F20574">
        <w:rPr>
          <w:rStyle w:val="Refdenotaalfinal"/>
          <w:rFonts w:ascii="Times New Roman" w:hAnsi="Times New Roman"/>
        </w:rPr>
        <w:endnoteRef/>
      </w:r>
      <w:r w:rsidRPr="008517FB">
        <w:rPr>
          <w:rStyle w:val="mixed-citation"/>
          <w:rFonts w:ascii="Times New Roman" w:hAnsi="Times New Roman"/>
          <w:lang w:val="es-US"/>
        </w:rPr>
        <w:t xml:space="preserve"> Brooks DR, Ramírez-Rubio O, Amador JJ. </w:t>
      </w:r>
      <w:r w:rsidRPr="00F20574">
        <w:rPr>
          <w:rStyle w:val="ref-title"/>
          <w:rFonts w:ascii="Times New Roman" w:hAnsi="Times New Roman"/>
          <w:lang w:val="en-US"/>
        </w:rPr>
        <w:t>CKD in Central America: a hot issue</w:t>
      </w:r>
      <w:r w:rsidRPr="00F20574">
        <w:rPr>
          <w:rStyle w:val="mixed-citation"/>
          <w:rFonts w:ascii="Times New Roman" w:hAnsi="Times New Roman"/>
          <w:lang w:val="en-US"/>
        </w:rPr>
        <w:t xml:space="preserve">. </w:t>
      </w:r>
      <w:r w:rsidRPr="00F20574">
        <w:rPr>
          <w:rStyle w:val="ref-journal"/>
          <w:rFonts w:ascii="Times New Roman" w:hAnsi="Times New Roman"/>
          <w:lang w:val="en-US"/>
        </w:rPr>
        <w:t>Am J Kidney Dis. 2012</w:t>
      </w:r>
      <w:r w:rsidRPr="00F20574">
        <w:rPr>
          <w:rStyle w:val="mixed-citation"/>
          <w:rFonts w:ascii="Times New Roman" w:hAnsi="Times New Roman"/>
          <w:lang w:val="en-US"/>
        </w:rPr>
        <w:t xml:space="preserve">; </w:t>
      </w:r>
      <w:r w:rsidRPr="00F20574">
        <w:rPr>
          <w:rStyle w:val="ref-vol"/>
          <w:rFonts w:ascii="Times New Roman" w:hAnsi="Times New Roman"/>
          <w:lang w:val="en-US"/>
        </w:rPr>
        <w:t>59</w:t>
      </w:r>
      <w:r w:rsidRPr="00F20574">
        <w:rPr>
          <w:rStyle w:val="mixed-citation"/>
          <w:rFonts w:ascii="Times New Roman" w:hAnsi="Times New Roman"/>
          <w:lang w:val="en-US"/>
        </w:rPr>
        <w:t>(</w:t>
      </w:r>
      <w:r w:rsidRPr="00F20574">
        <w:rPr>
          <w:rStyle w:val="ref-iss"/>
          <w:rFonts w:ascii="Times New Roman" w:hAnsi="Times New Roman"/>
          <w:lang w:val="en-US"/>
        </w:rPr>
        <w:t>4</w:t>
      </w:r>
      <w:r w:rsidRPr="00F20574">
        <w:rPr>
          <w:rStyle w:val="mixed-citation"/>
          <w:rFonts w:ascii="Times New Roman" w:hAnsi="Times New Roman"/>
          <w:lang w:val="en-US"/>
        </w:rPr>
        <w:t>):481–484.</w:t>
      </w:r>
    </w:p>
    <w:p w14:paraId="37F6EF90" w14:textId="77777777" w:rsidR="00FD6E8B" w:rsidRPr="00F20574" w:rsidRDefault="00FD6E8B" w:rsidP="00E56FE8">
      <w:pPr>
        <w:spacing w:after="0" w:line="240" w:lineRule="auto"/>
        <w:rPr>
          <w:rFonts w:ascii="Times New Roman" w:hAnsi="Times New Roman"/>
          <w:lang w:val="en-US"/>
        </w:rPr>
      </w:pPr>
      <w:r w:rsidRPr="00F20574">
        <w:rPr>
          <w:rStyle w:val="mixed-citation"/>
          <w:rFonts w:ascii="Times New Roman" w:hAnsi="Times New Roman"/>
          <w:lang w:val="en-US"/>
        </w:rPr>
        <w:t xml:space="preserve"> </w:t>
      </w:r>
    </w:p>
  </w:endnote>
  <w:endnote w:id="69">
    <w:p w14:paraId="17513025" w14:textId="77777777" w:rsidR="00FD6E8B" w:rsidRPr="00F20574" w:rsidRDefault="00FD6E8B" w:rsidP="00E56FE8">
      <w:pPr>
        <w:spacing w:after="0" w:line="240" w:lineRule="auto"/>
        <w:rPr>
          <w:rFonts w:ascii="Times New Roman" w:hAnsi="Times New Roman"/>
          <w:lang w:val="en-US"/>
        </w:rPr>
      </w:pPr>
      <w:r w:rsidRPr="00F20574">
        <w:rPr>
          <w:rStyle w:val="Refdenotaalfinal"/>
          <w:rFonts w:ascii="Times New Roman" w:hAnsi="Times New Roman"/>
        </w:rPr>
        <w:endnoteRef/>
      </w:r>
      <w:r w:rsidRPr="00F20574">
        <w:rPr>
          <w:rStyle w:val="mixed-citation"/>
          <w:rFonts w:ascii="Times New Roman" w:hAnsi="Times New Roman"/>
          <w:lang w:val="en-US"/>
        </w:rPr>
        <w:t xml:space="preserve">Correa R, </w:t>
      </w:r>
      <w:proofErr w:type="spellStart"/>
      <w:r w:rsidRPr="00F20574">
        <w:rPr>
          <w:rStyle w:val="mixed-citation"/>
          <w:rFonts w:ascii="Times New Roman" w:hAnsi="Times New Roman"/>
          <w:lang w:val="en-US"/>
        </w:rPr>
        <w:t>Wesseling</w:t>
      </w:r>
      <w:proofErr w:type="spellEnd"/>
      <w:r w:rsidRPr="00F20574">
        <w:rPr>
          <w:rStyle w:val="mixed-citation"/>
          <w:rFonts w:ascii="Times New Roman" w:hAnsi="Times New Roman"/>
          <w:lang w:val="en-US"/>
        </w:rPr>
        <w:t xml:space="preserve"> C, Johnson RJ. </w:t>
      </w:r>
      <w:r w:rsidRPr="00F20574">
        <w:rPr>
          <w:rStyle w:val="ref-title"/>
          <w:rFonts w:ascii="Times New Roman" w:hAnsi="Times New Roman"/>
          <w:lang w:val="en-US"/>
        </w:rPr>
        <w:t>CKD of unknown origin in Central America: the case for a Mesoamerican nephropathy</w:t>
      </w:r>
      <w:r w:rsidRPr="00F20574">
        <w:rPr>
          <w:rStyle w:val="mixed-citation"/>
          <w:rFonts w:ascii="Times New Roman" w:hAnsi="Times New Roman"/>
          <w:lang w:val="en-US"/>
        </w:rPr>
        <w:t xml:space="preserve">. </w:t>
      </w:r>
      <w:r w:rsidRPr="00F20574">
        <w:rPr>
          <w:rStyle w:val="ref-journal"/>
          <w:rFonts w:ascii="Times New Roman" w:hAnsi="Times New Roman"/>
          <w:lang w:val="en-US"/>
        </w:rPr>
        <w:t>Am J Kidney Dis</w:t>
      </w:r>
      <w:r w:rsidRPr="00F20574">
        <w:rPr>
          <w:rStyle w:val="mixed-citation"/>
          <w:rFonts w:ascii="Times New Roman" w:hAnsi="Times New Roman"/>
          <w:lang w:val="en-US"/>
        </w:rPr>
        <w:t xml:space="preserve">. 2014; </w:t>
      </w:r>
      <w:r w:rsidRPr="00F20574">
        <w:rPr>
          <w:rStyle w:val="ref-vol"/>
          <w:rFonts w:ascii="Times New Roman" w:hAnsi="Times New Roman"/>
          <w:lang w:val="en-US"/>
        </w:rPr>
        <w:t>63</w:t>
      </w:r>
      <w:r w:rsidRPr="00F20574">
        <w:rPr>
          <w:rStyle w:val="mixed-citation"/>
          <w:rFonts w:ascii="Times New Roman" w:hAnsi="Times New Roman"/>
          <w:lang w:val="en-US"/>
        </w:rPr>
        <w:t>(</w:t>
      </w:r>
      <w:r w:rsidRPr="00F20574">
        <w:rPr>
          <w:rStyle w:val="ref-iss"/>
          <w:rFonts w:ascii="Times New Roman" w:hAnsi="Times New Roman"/>
          <w:lang w:val="en-US"/>
        </w:rPr>
        <w:t>3</w:t>
      </w:r>
      <w:r w:rsidRPr="00F20574">
        <w:rPr>
          <w:rStyle w:val="mixed-citation"/>
          <w:rFonts w:ascii="Times New Roman" w:hAnsi="Times New Roman"/>
          <w:lang w:val="en-US"/>
        </w:rPr>
        <w:t xml:space="preserve">):506–520. </w:t>
      </w:r>
    </w:p>
  </w:endnote>
  <w:endnote w:id="70">
    <w:p w14:paraId="2414517D" w14:textId="77777777" w:rsidR="00FD6E8B" w:rsidRPr="00F20574" w:rsidRDefault="00FD6E8B" w:rsidP="00E56FE8">
      <w:pPr>
        <w:pStyle w:val="Ttulo1"/>
        <w:shd w:val="clear" w:color="auto" w:fill="FFFFFF"/>
        <w:spacing w:line="240" w:lineRule="auto"/>
        <w:rPr>
          <w:rFonts w:ascii="Times New Roman" w:hAnsi="Times New Roman"/>
          <w:sz w:val="22"/>
          <w:szCs w:val="22"/>
          <w:lang w:val="es-ES_tradnl"/>
        </w:rPr>
      </w:pPr>
      <w:r w:rsidRPr="00F20574">
        <w:rPr>
          <w:rStyle w:val="Refdenotaalfinal"/>
          <w:rFonts w:ascii="Times New Roman" w:hAnsi="Times New Roman"/>
          <w:color w:val="auto"/>
          <w:sz w:val="22"/>
          <w:szCs w:val="22"/>
        </w:rPr>
        <w:endnoteRef/>
      </w:r>
      <w:r w:rsidRPr="00F20574">
        <w:rPr>
          <w:rStyle w:val="Refdenotaalfinal"/>
          <w:rFonts w:ascii="Times New Roman" w:hAnsi="Times New Roman"/>
          <w:color w:val="auto"/>
          <w:sz w:val="22"/>
          <w:szCs w:val="22"/>
          <w:lang w:val="en-US"/>
        </w:rPr>
        <w:t xml:space="preserve"> </w:t>
      </w:r>
      <w:proofErr w:type="spellStart"/>
      <w:r w:rsidRPr="00F20574">
        <w:rPr>
          <w:rFonts w:ascii="Times New Roman" w:hAnsi="Times New Roman"/>
          <w:color w:val="auto"/>
          <w:sz w:val="22"/>
          <w:szCs w:val="22"/>
          <w:lang w:val="en-US"/>
        </w:rPr>
        <w:t>Belluz</w:t>
      </w:r>
      <w:proofErr w:type="spellEnd"/>
      <w:r w:rsidRPr="00F20574">
        <w:rPr>
          <w:rFonts w:ascii="Times New Roman" w:hAnsi="Times New Roman"/>
          <w:color w:val="auto"/>
          <w:sz w:val="22"/>
          <w:szCs w:val="22"/>
          <w:lang w:val="en-US"/>
        </w:rPr>
        <w:t xml:space="preserve"> J.</w:t>
      </w:r>
      <w:r>
        <w:rPr>
          <w:rFonts w:ascii="Times New Roman" w:hAnsi="Times New Roman"/>
          <w:color w:val="auto"/>
          <w:sz w:val="22"/>
          <w:szCs w:val="22"/>
          <w:lang w:val="en-US"/>
        </w:rPr>
        <w:t xml:space="preserve"> </w:t>
      </w:r>
      <w:r w:rsidRPr="00F20574">
        <w:rPr>
          <w:rFonts w:ascii="Times New Roman" w:hAnsi="Times New Roman"/>
          <w:color w:val="auto"/>
          <w:sz w:val="22"/>
          <w:szCs w:val="22"/>
          <w:lang w:val="en-US"/>
        </w:rPr>
        <w:t xml:space="preserve">The disturbing hypothesis for the sudden uptick in chronic kidney disease. </w:t>
      </w:r>
      <w:r w:rsidRPr="00F20574">
        <w:rPr>
          <w:rFonts w:ascii="Times New Roman" w:hAnsi="Times New Roman"/>
          <w:color w:val="auto"/>
          <w:sz w:val="22"/>
          <w:szCs w:val="22"/>
          <w:lang w:val="es-ES_tradnl"/>
        </w:rPr>
        <w:t xml:space="preserve">VOX. c2019, [Internet]. [citado 17 de agosto de 2019]. Disponible en: </w:t>
      </w:r>
      <w:hyperlink r:id="rId11" w:history="1">
        <w:r w:rsidRPr="00F20574">
          <w:rPr>
            <w:rStyle w:val="Hipervnculo"/>
            <w:rFonts w:ascii="Times New Roman" w:hAnsi="Times New Roman"/>
            <w:sz w:val="22"/>
            <w:szCs w:val="22"/>
            <w:lang w:val="es-ES_tradnl"/>
          </w:rPr>
          <w:t>https://www.vox.com/future-perfect/2019/2/15/18213988/chronic-kidney-disease-climate-change</w:t>
        </w:r>
      </w:hyperlink>
      <w:r w:rsidRPr="00F20574">
        <w:rPr>
          <w:rFonts w:ascii="Times New Roman" w:hAnsi="Times New Roman"/>
          <w:color w:val="auto"/>
          <w:sz w:val="22"/>
          <w:szCs w:val="22"/>
          <w:lang w:val="es-ES_tradnl"/>
        </w:rPr>
        <w:t xml:space="preserve"> </w:t>
      </w:r>
    </w:p>
  </w:endnote>
  <w:endnote w:id="71">
    <w:p w14:paraId="3A8700C0" w14:textId="77777777" w:rsidR="00FD6E8B" w:rsidRPr="00F20574" w:rsidRDefault="00FD6E8B" w:rsidP="00E56FE8">
      <w:pPr>
        <w:pStyle w:val="Ttulo1"/>
        <w:shd w:val="clear" w:color="auto" w:fill="FFFFFF"/>
        <w:spacing w:before="120" w:after="150" w:line="240" w:lineRule="auto"/>
        <w:rPr>
          <w:rFonts w:ascii="Times New Roman" w:hAnsi="Times New Roman"/>
          <w:sz w:val="22"/>
          <w:szCs w:val="22"/>
          <w:lang w:val="en-US" w:eastAsia="es-ES_tradnl"/>
        </w:rPr>
      </w:pPr>
      <w:r w:rsidRPr="00F20574">
        <w:rPr>
          <w:rStyle w:val="Refdenotaalfinal"/>
          <w:rFonts w:ascii="Times New Roman" w:hAnsi="Times New Roman"/>
          <w:color w:val="auto"/>
          <w:sz w:val="22"/>
          <w:szCs w:val="22"/>
          <w:lang w:val="es-ES_tradnl" w:eastAsia="es-ES_tradnl"/>
        </w:rPr>
        <w:endnoteRef/>
      </w:r>
      <w:r w:rsidRPr="00F20574">
        <w:rPr>
          <w:rFonts w:ascii="Times New Roman" w:hAnsi="Times New Roman"/>
          <w:sz w:val="22"/>
          <w:szCs w:val="22"/>
          <w:lang w:val="en-US"/>
        </w:rPr>
        <w:t xml:space="preserve"> </w:t>
      </w:r>
      <w:proofErr w:type="spellStart"/>
      <w:r w:rsidRPr="00F20574">
        <w:rPr>
          <w:rFonts w:ascii="Times New Roman" w:hAnsi="Times New Roman"/>
          <w:color w:val="auto"/>
          <w:sz w:val="22"/>
          <w:szCs w:val="22"/>
          <w:lang w:val="en-US" w:eastAsia="es-ES_tradnl"/>
        </w:rPr>
        <w:t>Roncal</w:t>
      </w:r>
      <w:proofErr w:type="spellEnd"/>
      <w:r w:rsidRPr="00F20574">
        <w:rPr>
          <w:rFonts w:ascii="Times New Roman" w:hAnsi="Times New Roman"/>
          <w:color w:val="auto"/>
          <w:sz w:val="22"/>
          <w:szCs w:val="22"/>
          <w:lang w:val="en-US" w:eastAsia="es-ES_tradnl"/>
        </w:rPr>
        <w:t xml:space="preserve"> CA, García R, </w:t>
      </w:r>
      <w:proofErr w:type="spellStart"/>
      <w:r w:rsidRPr="00F20574">
        <w:rPr>
          <w:rFonts w:ascii="Times New Roman" w:hAnsi="Times New Roman"/>
          <w:color w:val="auto"/>
          <w:sz w:val="22"/>
          <w:szCs w:val="22"/>
          <w:lang w:val="en-US" w:eastAsia="es-ES_tradnl"/>
        </w:rPr>
        <w:t>Wesseling</w:t>
      </w:r>
      <w:proofErr w:type="spellEnd"/>
      <w:r w:rsidRPr="00F20574">
        <w:rPr>
          <w:rFonts w:ascii="Times New Roman" w:hAnsi="Times New Roman"/>
          <w:color w:val="auto"/>
          <w:sz w:val="22"/>
          <w:szCs w:val="22"/>
          <w:lang w:val="en-US" w:eastAsia="es-ES_tradnl"/>
        </w:rPr>
        <w:t xml:space="preserve"> C, Johnson RJ. Mesoamerican nephropathy or global warming nephropathy? </w:t>
      </w:r>
      <w:proofErr w:type="spellStart"/>
      <w:r w:rsidRPr="00F20574">
        <w:rPr>
          <w:rFonts w:ascii="Times New Roman" w:hAnsi="Times New Roman"/>
          <w:color w:val="auto"/>
          <w:sz w:val="22"/>
          <w:szCs w:val="22"/>
          <w:lang w:val="en-US" w:eastAsia="es-ES_tradnl"/>
        </w:rPr>
        <w:t>Bood</w:t>
      </w:r>
      <w:proofErr w:type="spellEnd"/>
      <w:r w:rsidRPr="00F20574">
        <w:rPr>
          <w:rFonts w:ascii="Times New Roman" w:hAnsi="Times New Roman"/>
          <w:color w:val="auto"/>
          <w:sz w:val="22"/>
          <w:szCs w:val="22"/>
          <w:lang w:val="en-US" w:eastAsia="es-ES_tradnl"/>
        </w:rPr>
        <w:t xml:space="preserve"> </w:t>
      </w:r>
      <w:proofErr w:type="spellStart"/>
      <w:r w:rsidRPr="00F20574">
        <w:rPr>
          <w:rFonts w:ascii="Times New Roman" w:hAnsi="Times New Roman"/>
          <w:color w:val="auto"/>
          <w:sz w:val="22"/>
          <w:szCs w:val="22"/>
          <w:lang w:val="en-US" w:eastAsia="es-ES_tradnl"/>
        </w:rPr>
        <w:t>Purif</w:t>
      </w:r>
      <w:proofErr w:type="spellEnd"/>
      <w:r>
        <w:rPr>
          <w:rFonts w:ascii="Times New Roman" w:hAnsi="Times New Roman"/>
          <w:color w:val="auto"/>
          <w:sz w:val="22"/>
          <w:szCs w:val="22"/>
          <w:lang w:val="en-US" w:eastAsia="es-ES_tradnl"/>
        </w:rPr>
        <w:t>.</w:t>
      </w:r>
      <w:r w:rsidRPr="00F20574">
        <w:rPr>
          <w:rFonts w:ascii="Times New Roman" w:hAnsi="Times New Roman"/>
          <w:color w:val="auto"/>
          <w:sz w:val="22"/>
          <w:szCs w:val="22"/>
          <w:lang w:val="en-US" w:eastAsia="es-ES_tradnl"/>
        </w:rPr>
        <w:t xml:space="preserve"> 2016;41(1-3):135-8.</w:t>
      </w:r>
    </w:p>
  </w:endnote>
  <w:endnote w:id="72">
    <w:p w14:paraId="1DE08F06" w14:textId="04DFAEE3" w:rsidR="006972F7" w:rsidRDefault="006972F7">
      <w:pPr>
        <w:pStyle w:val="Textonotaalfinal"/>
        <w:rPr>
          <w:rFonts w:ascii="Times New Roman" w:hAnsi="Times New Roman"/>
          <w:sz w:val="22"/>
          <w:szCs w:val="22"/>
        </w:rPr>
      </w:pPr>
      <w:r>
        <w:rPr>
          <w:rStyle w:val="Refdenotaalfinal"/>
        </w:rPr>
        <w:endnoteRef/>
      </w:r>
      <w:r>
        <w:t xml:space="preserve"> </w:t>
      </w:r>
      <w:r w:rsidRPr="006972F7">
        <w:rPr>
          <w:rFonts w:ascii="Times New Roman" w:hAnsi="Times New Roman"/>
          <w:sz w:val="22"/>
          <w:szCs w:val="22"/>
          <w:lang w:val="es-US"/>
        </w:rPr>
        <w:t xml:space="preserve">Herrera R, Orantes CM, Almaguer M, Alfonso P, </w:t>
      </w:r>
      <w:proofErr w:type="spellStart"/>
      <w:r w:rsidRPr="006972F7">
        <w:rPr>
          <w:rFonts w:ascii="Times New Roman" w:hAnsi="Times New Roman"/>
          <w:sz w:val="22"/>
          <w:szCs w:val="22"/>
          <w:lang w:val="es-US"/>
        </w:rPr>
        <w:t>Bayarre</w:t>
      </w:r>
      <w:proofErr w:type="spellEnd"/>
      <w:r w:rsidRPr="006972F7">
        <w:rPr>
          <w:rFonts w:ascii="Times New Roman" w:hAnsi="Times New Roman"/>
          <w:sz w:val="22"/>
          <w:szCs w:val="22"/>
          <w:lang w:val="es-US"/>
        </w:rPr>
        <w:t xml:space="preserve"> HD, Leiva IM, et al. </w:t>
      </w:r>
      <w:r w:rsidRPr="00F20574">
        <w:rPr>
          <w:rFonts w:ascii="Times New Roman" w:hAnsi="Times New Roman"/>
          <w:sz w:val="22"/>
          <w:szCs w:val="22"/>
          <w:lang w:val="en-US"/>
        </w:rPr>
        <w:t xml:space="preserve">Clinical characteristics of Chronic Kidney Disease of Nontraditional Causes in Salvadoran farming communities. </w:t>
      </w:r>
      <w:r w:rsidRPr="00F20574">
        <w:rPr>
          <w:rFonts w:ascii="Times New Roman" w:hAnsi="Times New Roman"/>
          <w:sz w:val="22"/>
          <w:szCs w:val="22"/>
        </w:rPr>
        <w:t>MEDICC Rev. 2014; 16:39‒48.</w:t>
      </w:r>
    </w:p>
    <w:p w14:paraId="1444DA9D" w14:textId="77777777" w:rsidR="006972F7" w:rsidRPr="006972F7" w:rsidRDefault="006972F7">
      <w:pPr>
        <w:pStyle w:val="Textonotaalfinal"/>
        <w:rPr>
          <w:lang w:val="es-US"/>
        </w:rPr>
      </w:pPr>
    </w:p>
  </w:endnote>
  <w:endnote w:id="73">
    <w:p w14:paraId="5A049819" w14:textId="77777777" w:rsidR="006972F7" w:rsidRPr="00F20574" w:rsidRDefault="006972F7" w:rsidP="006972F7">
      <w:pPr>
        <w:pStyle w:val="Textonotaalfinal"/>
        <w:jc w:val="left"/>
        <w:rPr>
          <w:rFonts w:ascii="Times New Roman" w:hAnsi="Times New Roman"/>
          <w:sz w:val="22"/>
          <w:szCs w:val="22"/>
          <w:lang w:val="en-US"/>
        </w:rPr>
      </w:pPr>
      <w:r>
        <w:rPr>
          <w:rStyle w:val="Refdenotaalfinal"/>
        </w:rPr>
        <w:endnoteRef/>
      </w:r>
      <w:r>
        <w:t xml:space="preserve"> </w:t>
      </w:r>
      <w:proofErr w:type="spellStart"/>
      <w:r w:rsidRPr="00F20574">
        <w:rPr>
          <w:rFonts w:ascii="Times New Roman" w:hAnsi="Times New Roman"/>
          <w:sz w:val="22"/>
          <w:szCs w:val="22"/>
        </w:rPr>
        <w:t>Herath</w:t>
      </w:r>
      <w:proofErr w:type="spellEnd"/>
      <w:r w:rsidRPr="00F20574">
        <w:rPr>
          <w:rFonts w:ascii="Times New Roman" w:hAnsi="Times New Roman"/>
          <w:sz w:val="22"/>
          <w:szCs w:val="22"/>
        </w:rPr>
        <w:t xml:space="preserve"> C, </w:t>
      </w:r>
      <w:proofErr w:type="spellStart"/>
      <w:r w:rsidRPr="00F20574">
        <w:rPr>
          <w:rFonts w:ascii="Times New Roman" w:hAnsi="Times New Roman"/>
          <w:sz w:val="22"/>
          <w:szCs w:val="22"/>
        </w:rPr>
        <w:t>Jayasumana</w:t>
      </w:r>
      <w:proofErr w:type="spellEnd"/>
      <w:r w:rsidRPr="00F20574">
        <w:rPr>
          <w:rFonts w:ascii="Times New Roman" w:hAnsi="Times New Roman"/>
          <w:sz w:val="22"/>
          <w:szCs w:val="22"/>
        </w:rPr>
        <w:t xml:space="preserve"> C, De Silva P, De Silva PHC, </w:t>
      </w:r>
      <w:proofErr w:type="spellStart"/>
      <w:r w:rsidRPr="00F20574">
        <w:rPr>
          <w:rFonts w:ascii="Times New Roman" w:hAnsi="Times New Roman"/>
          <w:sz w:val="22"/>
          <w:szCs w:val="22"/>
        </w:rPr>
        <w:t>Siribaddana</w:t>
      </w:r>
      <w:proofErr w:type="spellEnd"/>
      <w:r w:rsidRPr="00F20574">
        <w:rPr>
          <w:rFonts w:ascii="Times New Roman" w:hAnsi="Times New Roman"/>
          <w:sz w:val="22"/>
          <w:szCs w:val="22"/>
        </w:rPr>
        <w:t xml:space="preserve"> S, De </w:t>
      </w:r>
      <w:proofErr w:type="spellStart"/>
      <w:r w:rsidRPr="00F20574">
        <w:rPr>
          <w:rFonts w:ascii="Times New Roman" w:hAnsi="Times New Roman"/>
          <w:sz w:val="22"/>
          <w:szCs w:val="22"/>
        </w:rPr>
        <w:t>Broe</w:t>
      </w:r>
      <w:proofErr w:type="spellEnd"/>
      <w:r w:rsidRPr="00F20574">
        <w:rPr>
          <w:rFonts w:ascii="Times New Roman" w:hAnsi="Times New Roman"/>
          <w:sz w:val="22"/>
          <w:szCs w:val="22"/>
        </w:rPr>
        <w:t xml:space="preserve"> ME. </w:t>
      </w:r>
      <w:r w:rsidRPr="00F20574">
        <w:rPr>
          <w:rFonts w:ascii="Times New Roman" w:hAnsi="Times New Roman"/>
          <w:sz w:val="22"/>
          <w:szCs w:val="22"/>
          <w:lang w:val="en-US"/>
        </w:rPr>
        <w:t>Kidney Diseases in Agricultural Communities: A Case Against Heat-Stress Nephropathy. Kidney International Reports. 2018; 3(2):271–280.</w:t>
      </w:r>
    </w:p>
    <w:p w14:paraId="31A8B119" w14:textId="7E999862" w:rsidR="006972F7" w:rsidRPr="006972F7" w:rsidRDefault="006972F7">
      <w:pPr>
        <w:pStyle w:val="Textonotaalfinal"/>
        <w:rPr>
          <w:lang w:val="es-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51446" w14:textId="5E2455EA" w:rsidR="00FD6E8B" w:rsidRDefault="00FD6E8B">
    <w:pPr>
      <w:pStyle w:val="Piedepgina"/>
      <w:jc w:val="right"/>
    </w:pPr>
    <w:r>
      <w:fldChar w:fldCharType="begin"/>
    </w:r>
    <w:r>
      <w:instrText>PAGE   \* MERGEFORMAT</w:instrText>
    </w:r>
    <w:r>
      <w:fldChar w:fldCharType="separate"/>
    </w:r>
    <w:r w:rsidR="005E1068">
      <w:rPr>
        <w:noProof/>
      </w:rPr>
      <w:t>22</w:t>
    </w:r>
    <w:r>
      <w:fldChar w:fldCharType="end"/>
    </w:r>
  </w:p>
  <w:p w14:paraId="11E7A3AA" w14:textId="77777777" w:rsidR="00FD6E8B" w:rsidRDefault="00FD6E8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9B545" w14:textId="77777777" w:rsidR="001256CB" w:rsidRDefault="001256CB" w:rsidP="000B595F">
      <w:pPr>
        <w:spacing w:after="0" w:line="240" w:lineRule="auto"/>
      </w:pPr>
      <w:r>
        <w:separator/>
      </w:r>
    </w:p>
  </w:footnote>
  <w:footnote w:type="continuationSeparator" w:id="0">
    <w:p w14:paraId="3DE4D75F" w14:textId="77777777" w:rsidR="001256CB" w:rsidRDefault="001256CB" w:rsidP="000B59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D1C88"/>
    <w:multiLevelType w:val="hybridMultilevel"/>
    <w:tmpl w:val="D3FC281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49C0CE6"/>
    <w:multiLevelType w:val="hybridMultilevel"/>
    <w:tmpl w:val="6F663C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697E91"/>
    <w:multiLevelType w:val="hybridMultilevel"/>
    <w:tmpl w:val="FDE030B4"/>
    <w:lvl w:ilvl="0" w:tplc="D2688064">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061017"/>
    <w:multiLevelType w:val="hybridMultilevel"/>
    <w:tmpl w:val="CBCA79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0A26BF"/>
    <w:multiLevelType w:val="hybridMultilevel"/>
    <w:tmpl w:val="E52C65BC"/>
    <w:lvl w:ilvl="0" w:tplc="85C2F44E">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E7B3D69"/>
    <w:multiLevelType w:val="hybridMultilevel"/>
    <w:tmpl w:val="49D8609E"/>
    <w:lvl w:ilvl="0" w:tplc="1EC869C2">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524368"/>
    <w:multiLevelType w:val="hybridMultilevel"/>
    <w:tmpl w:val="B91AD128"/>
    <w:lvl w:ilvl="0" w:tplc="A6D0280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51D265A"/>
    <w:multiLevelType w:val="hybridMultilevel"/>
    <w:tmpl w:val="BC545E6C"/>
    <w:lvl w:ilvl="0" w:tplc="CD221624">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A86AF2"/>
    <w:multiLevelType w:val="hybridMultilevel"/>
    <w:tmpl w:val="4E4E7D0E"/>
    <w:lvl w:ilvl="0" w:tplc="7688CAD8">
      <w:start w:val="1"/>
      <w:numFmt w:val="bullet"/>
      <w:lvlText w:val="-"/>
      <w:lvlJc w:val="left"/>
      <w:pPr>
        <w:ind w:left="375" w:hanging="360"/>
      </w:pPr>
      <w:rPr>
        <w:rFonts w:ascii="Times New Roman" w:eastAsia="Times New Roman" w:hAnsi="Times New Roman" w:cs="Times New Roman" w:hint="default"/>
      </w:rPr>
    </w:lvl>
    <w:lvl w:ilvl="1" w:tplc="0C0A0003" w:tentative="1">
      <w:start w:val="1"/>
      <w:numFmt w:val="bullet"/>
      <w:lvlText w:val="o"/>
      <w:lvlJc w:val="left"/>
      <w:pPr>
        <w:ind w:left="1095" w:hanging="360"/>
      </w:pPr>
      <w:rPr>
        <w:rFonts w:ascii="Courier New" w:hAnsi="Courier New" w:cs="Courier New" w:hint="default"/>
      </w:rPr>
    </w:lvl>
    <w:lvl w:ilvl="2" w:tplc="0C0A0005" w:tentative="1">
      <w:start w:val="1"/>
      <w:numFmt w:val="bullet"/>
      <w:lvlText w:val=""/>
      <w:lvlJc w:val="left"/>
      <w:pPr>
        <w:ind w:left="1815" w:hanging="360"/>
      </w:pPr>
      <w:rPr>
        <w:rFonts w:ascii="Wingdings" w:hAnsi="Wingdings" w:hint="default"/>
      </w:rPr>
    </w:lvl>
    <w:lvl w:ilvl="3" w:tplc="0C0A0001" w:tentative="1">
      <w:start w:val="1"/>
      <w:numFmt w:val="bullet"/>
      <w:lvlText w:val=""/>
      <w:lvlJc w:val="left"/>
      <w:pPr>
        <w:ind w:left="2535" w:hanging="360"/>
      </w:pPr>
      <w:rPr>
        <w:rFonts w:ascii="Symbol" w:hAnsi="Symbol" w:hint="default"/>
      </w:rPr>
    </w:lvl>
    <w:lvl w:ilvl="4" w:tplc="0C0A0003" w:tentative="1">
      <w:start w:val="1"/>
      <w:numFmt w:val="bullet"/>
      <w:lvlText w:val="o"/>
      <w:lvlJc w:val="left"/>
      <w:pPr>
        <w:ind w:left="3255" w:hanging="360"/>
      </w:pPr>
      <w:rPr>
        <w:rFonts w:ascii="Courier New" w:hAnsi="Courier New" w:cs="Courier New" w:hint="default"/>
      </w:rPr>
    </w:lvl>
    <w:lvl w:ilvl="5" w:tplc="0C0A0005" w:tentative="1">
      <w:start w:val="1"/>
      <w:numFmt w:val="bullet"/>
      <w:lvlText w:val=""/>
      <w:lvlJc w:val="left"/>
      <w:pPr>
        <w:ind w:left="3975" w:hanging="360"/>
      </w:pPr>
      <w:rPr>
        <w:rFonts w:ascii="Wingdings" w:hAnsi="Wingdings" w:hint="default"/>
      </w:rPr>
    </w:lvl>
    <w:lvl w:ilvl="6" w:tplc="0C0A0001" w:tentative="1">
      <w:start w:val="1"/>
      <w:numFmt w:val="bullet"/>
      <w:lvlText w:val=""/>
      <w:lvlJc w:val="left"/>
      <w:pPr>
        <w:ind w:left="4695" w:hanging="360"/>
      </w:pPr>
      <w:rPr>
        <w:rFonts w:ascii="Symbol" w:hAnsi="Symbol" w:hint="default"/>
      </w:rPr>
    </w:lvl>
    <w:lvl w:ilvl="7" w:tplc="0C0A0003" w:tentative="1">
      <w:start w:val="1"/>
      <w:numFmt w:val="bullet"/>
      <w:lvlText w:val="o"/>
      <w:lvlJc w:val="left"/>
      <w:pPr>
        <w:ind w:left="5415" w:hanging="360"/>
      </w:pPr>
      <w:rPr>
        <w:rFonts w:ascii="Courier New" w:hAnsi="Courier New" w:cs="Courier New" w:hint="default"/>
      </w:rPr>
    </w:lvl>
    <w:lvl w:ilvl="8" w:tplc="0C0A0005" w:tentative="1">
      <w:start w:val="1"/>
      <w:numFmt w:val="bullet"/>
      <w:lvlText w:val=""/>
      <w:lvlJc w:val="left"/>
      <w:pPr>
        <w:ind w:left="6135" w:hanging="360"/>
      </w:pPr>
      <w:rPr>
        <w:rFonts w:ascii="Wingdings" w:hAnsi="Wingdings" w:hint="default"/>
      </w:rPr>
    </w:lvl>
  </w:abstractNum>
  <w:abstractNum w:abstractNumId="10" w15:restartNumberingAfterBreak="0">
    <w:nsid w:val="19BB4D29"/>
    <w:multiLevelType w:val="hybridMultilevel"/>
    <w:tmpl w:val="D6C61790"/>
    <w:lvl w:ilvl="0" w:tplc="5232B7F6">
      <w:start w:val="1"/>
      <w:numFmt w:val="decimal"/>
      <w:lvlText w:val="%1."/>
      <w:lvlJc w:val="left"/>
      <w:pPr>
        <w:ind w:left="36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lvl w:ilvl="1" w:tplc="D442798E">
      <w:start w:val="1"/>
      <w:numFmt w:val="lowerLetter"/>
      <w:lvlText w:val="%2"/>
      <w:lvlJc w:val="left"/>
      <w:pPr>
        <w:ind w:left="108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lvl w:ilvl="2" w:tplc="BE8A6528">
      <w:start w:val="1"/>
      <w:numFmt w:val="lowerRoman"/>
      <w:lvlText w:val="%3"/>
      <w:lvlJc w:val="left"/>
      <w:pPr>
        <w:ind w:left="180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lvl w:ilvl="3" w:tplc="1832A8E0">
      <w:start w:val="1"/>
      <w:numFmt w:val="decimal"/>
      <w:lvlText w:val="%4"/>
      <w:lvlJc w:val="left"/>
      <w:pPr>
        <w:ind w:left="252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lvl w:ilvl="4" w:tplc="114618FE">
      <w:start w:val="1"/>
      <w:numFmt w:val="lowerLetter"/>
      <w:lvlText w:val="%5"/>
      <w:lvlJc w:val="left"/>
      <w:pPr>
        <w:ind w:left="324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lvl w:ilvl="5" w:tplc="4BDEF17A">
      <w:start w:val="1"/>
      <w:numFmt w:val="lowerRoman"/>
      <w:lvlText w:val="%6"/>
      <w:lvlJc w:val="left"/>
      <w:pPr>
        <w:ind w:left="396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lvl w:ilvl="6" w:tplc="5532D2EA">
      <w:start w:val="1"/>
      <w:numFmt w:val="decimal"/>
      <w:lvlText w:val="%7"/>
      <w:lvlJc w:val="left"/>
      <w:pPr>
        <w:ind w:left="468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lvl w:ilvl="7" w:tplc="E9842CC2">
      <w:start w:val="1"/>
      <w:numFmt w:val="lowerLetter"/>
      <w:lvlText w:val="%8"/>
      <w:lvlJc w:val="left"/>
      <w:pPr>
        <w:ind w:left="540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lvl w:ilvl="8" w:tplc="8032647C">
      <w:start w:val="1"/>
      <w:numFmt w:val="lowerRoman"/>
      <w:lvlText w:val="%9"/>
      <w:lvlJc w:val="left"/>
      <w:pPr>
        <w:ind w:left="6120"/>
      </w:pPr>
      <w:rPr>
        <w:rFonts w:ascii="Arial" w:eastAsia="Arial" w:hAnsi="Arial" w:cs="Arial"/>
        <w:b w:val="0"/>
        <w:i w:val="0"/>
        <w:strike w:val="0"/>
        <w:dstrike w:val="0"/>
        <w:color w:val="231F20"/>
        <w:sz w:val="14"/>
        <w:szCs w:val="14"/>
        <w:u w:val="none" w:color="000000"/>
        <w:bdr w:val="none" w:sz="0" w:space="0" w:color="auto"/>
        <w:shd w:val="clear" w:color="auto" w:fill="auto"/>
        <w:vertAlign w:val="baseline"/>
      </w:rPr>
    </w:lvl>
  </w:abstractNum>
  <w:abstractNum w:abstractNumId="11" w15:restartNumberingAfterBreak="0">
    <w:nsid w:val="1E7179E7"/>
    <w:multiLevelType w:val="hybridMultilevel"/>
    <w:tmpl w:val="D6F2BC2C"/>
    <w:lvl w:ilvl="0" w:tplc="501A67AE">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21F0386B"/>
    <w:multiLevelType w:val="hybridMultilevel"/>
    <w:tmpl w:val="3D1813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2ED0599"/>
    <w:multiLevelType w:val="hybridMultilevel"/>
    <w:tmpl w:val="F036E6C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23E133EB"/>
    <w:multiLevelType w:val="hybridMultilevel"/>
    <w:tmpl w:val="A4EECA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4551AB8"/>
    <w:multiLevelType w:val="hybridMultilevel"/>
    <w:tmpl w:val="6BAE64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6C76332"/>
    <w:multiLevelType w:val="hybridMultilevel"/>
    <w:tmpl w:val="79C640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A7330D8"/>
    <w:multiLevelType w:val="hybridMultilevel"/>
    <w:tmpl w:val="2E980BB0"/>
    <w:lvl w:ilvl="0" w:tplc="744C14DA">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BA2151A"/>
    <w:multiLevelType w:val="hybridMultilevel"/>
    <w:tmpl w:val="62F84A4A"/>
    <w:lvl w:ilvl="0" w:tplc="040A000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2D1259A3"/>
    <w:multiLevelType w:val="hybridMultilevel"/>
    <w:tmpl w:val="E3CA7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28F64AE"/>
    <w:multiLevelType w:val="hybridMultilevel"/>
    <w:tmpl w:val="503676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41F4549"/>
    <w:multiLevelType w:val="hybridMultilevel"/>
    <w:tmpl w:val="043486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46D730D"/>
    <w:multiLevelType w:val="hybridMultilevel"/>
    <w:tmpl w:val="F19803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AAE54E2"/>
    <w:multiLevelType w:val="hybridMultilevel"/>
    <w:tmpl w:val="30A8F866"/>
    <w:lvl w:ilvl="0" w:tplc="FAA8AE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6445FA9"/>
    <w:multiLevelType w:val="hybridMultilevel"/>
    <w:tmpl w:val="3BEC5380"/>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4F20432D"/>
    <w:multiLevelType w:val="hybridMultilevel"/>
    <w:tmpl w:val="7BE20594"/>
    <w:lvl w:ilvl="0" w:tplc="689A69B8">
      <w:start w:val="1"/>
      <w:numFmt w:val="lowerRoman"/>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3FC2E17"/>
    <w:multiLevelType w:val="hybridMultilevel"/>
    <w:tmpl w:val="A86E2876"/>
    <w:lvl w:ilvl="0" w:tplc="BFCCA7FE">
      <w:numFmt w:val="bullet"/>
      <w:lvlText w:val="•"/>
      <w:lvlJc w:val="left"/>
      <w:pPr>
        <w:ind w:left="1428" w:hanging="360"/>
      </w:pPr>
      <w:rPr>
        <w:rFonts w:ascii="Calibri" w:eastAsia="Calibri" w:hAnsi="Calibri" w:cs="Times New Roman"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27" w15:restartNumberingAfterBreak="0">
    <w:nsid w:val="5560792D"/>
    <w:multiLevelType w:val="hybridMultilevel"/>
    <w:tmpl w:val="22E4E3C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6EE36E9"/>
    <w:multiLevelType w:val="hybridMultilevel"/>
    <w:tmpl w:val="9B605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242834"/>
    <w:multiLevelType w:val="hybridMultilevel"/>
    <w:tmpl w:val="6522646C"/>
    <w:lvl w:ilvl="0" w:tplc="041602BC">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D6063F8"/>
    <w:multiLevelType w:val="hybridMultilevel"/>
    <w:tmpl w:val="D55832BA"/>
    <w:lvl w:ilvl="0" w:tplc="4B3813D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2C456B8"/>
    <w:multiLevelType w:val="hybridMultilevel"/>
    <w:tmpl w:val="83CE15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3E46ED8"/>
    <w:multiLevelType w:val="hybridMultilevel"/>
    <w:tmpl w:val="6DE08C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A8126CA"/>
    <w:multiLevelType w:val="hybridMultilevel"/>
    <w:tmpl w:val="BD44918A"/>
    <w:lvl w:ilvl="0" w:tplc="73B2D40C">
      <w:start w:val="1"/>
      <w:numFmt w:val="decimal"/>
      <w:lvlText w:val="%1."/>
      <w:lvlJc w:val="left"/>
      <w:pPr>
        <w:ind w:left="1080" w:hanging="360"/>
      </w:pPr>
      <w:rPr>
        <w:rFonts w:hint="default"/>
        <w:sz w:val="24"/>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34" w15:restartNumberingAfterBreak="0">
    <w:nsid w:val="73ED0AFA"/>
    <w:multiLevelType w:val="multilevel"/>
    <w:tmpl w:val="8A380B5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EB1A19"/>
    <w:multiLevelType w:val="hybridMultilevel"/>
    <w:tmpl w:val="C68ECF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6526EF6"/>
    <w:multiLevelType w:val="hybridMultilevel"/>
    <w:tmpl w:val="44386EB2"/>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15:restartNumberingAfterBreak="0">
    <w:nsid w:val="78D433EE"/>
    <w:multiLevelType w:val="hybridMultilevel"/>
    <w:tmpl w:val="6D7A557E"/>
    <w:lvl w:ilvl="0" w:tplc="6B2861C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7A3E758A"/>
    <w:multiLevelType w:val="hybridMultilevel"/>
    <w:tmpl w:val="74A4466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AE4567D"/>
    <w:multiLevelType w:val="hybridMultilevel"/>
    <w:tmpl w:val="EC9CDA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2"/>
  </w:num>
  <w:num w:numId="3">
    <w:abstractNumId w:val="10"/>
  </w:num>
  <w:num w:numId="4">
    <w:abstractNumId w:val="33"/>
  </w:num>
  <w:num w:numId="5">
    <w:abstractNumId w:val="14"/>
  </w:num>
  <w:num w:numId="6">
    <w:abstractNumId w:val="38"/>
  </w:num>
  <w:num w:numId="7">
    <w:abstractNumId w:val="25"/>
  </w:num>
  <w:num w:numId="8">
    <w:abstractNumId w:val="6"/>
  </w:num>
  <w:num w:numId="9">
    <w:abstractNumId w:val="8"/>
  </w:num>
  <w:num w:numId="10">
    <w:abstractNumId w:val="5"/>
  </w:num>
  <w:num w:numId="11">
    <w:abstractNumId w:val="20"/>
  </w:num>
  <w:num w:numId="12">
    <w:abstractNumId w:val="15"/>
  </w:num>
  <w:num w:numId="13">
    <w:abstractNumId w:val="26"/>
  </w:num>
  <w:num w:numId="14">
    <w:abstractNumId w:val="3"/>
  </w:num>
  <w:num w:numId="15">
    <w:abstractNumId w:val="22"/>
  </w:num>
  <w:num w:numId="16">
    <w:abstractNumId w:val="12"/>
  </w:num>
  <w:num w:numId="17">
    <w:abstractNumId w:val="4"/>
  </w:num>
  <w:num w:numId="18">
    <w:abstractNumId w:val="23"/>
  </w:num>
  <w:num w:numId="19">
    <w:abstractNumId w:val="7"/>
  </w:num>
  <w:num w:numId="20">
    <w:abstractNumId w:val="35"/>
  </w:num>
  <w:num w:numId="21">
    <w:abstractNumId w:val="1"/>
  </w:num>
  <w:num w:numId="22">
    <w:abstractNumId w:val="28"/>
  </w:num>
  <w:num w:numId="23">
    <w:abstractNumId w:val="30"/>
  </w:num>
  <w:num w:numId="24">
    <w:abstractNumId w:val="21"/>
  </w:num>
  <w:num w:numId="25">
    <w:abstractNumId w:val="18"/>
  </w:num>
  <w:num w:numId="26">
    <w:abstractNumId w:val="9"/>
  </w:num>
  <w:num w:numId="27">
    <w:abstractNumId w:val="39"/>
  </w:num>
  <w:num w:numId="28">
    <w:abstractNumId w:val="29"/>
  </w:num>
  <w:num w:numId="29">
    <w:abstractNumId w:val="31"/>
  </w:num>
  <w:num w:numId="30">
    <w:abstractNumId w:val="17"/>
  </w:num>
  <w:num w:numId="31">
    <w:abstractNumId w:val="16"/>
  </w:num>
  <w:num w:numId="32">
    <w:abstractNumId w:val="32"/>
  </w:num>
  <w:num w:numId="33">
    <w:abstractNumId w:val="27"/>
  </w:num>
  <w:num w:numId="34">
    <w:abstractNumId w:val="34"/>
  </w:num>
  <w:num w:numId="35">
    <w:abstractNumId w:val="0"/>
  </w:num>
  <w:num w:numId="36">
    <w:abstractNumId w:val="37"/>
  </w:num>
  <w:num w:numId="37">
    <w:abstractNumId w:val="13"/>
  </w:num>
  <w:num w:numId="38">
    <w:abstractNumId w:val="24"/>
  </w:num>
  <w:num w:numId="39">
    <w:abstractNumId w:val="36"/>
  </w:num>
  <w:num w:numId="40">
    <w:abstractNumId w:val="36"/>
  </w:num>
  <w:num w:numId="41">
    <w:abstractNumId w:val="32"/>
  </w:num>
  <w:num w:numId="42">
    <w:abstractNumId w:val="1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Fmt w:val="lowerRoman"/>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C4"/>
    <w:rsid w:val="00000813"/>
    <w:rsid w:val="000010F1"/>
    <w:rsid w:val="00002893"/>
    <w:rsid w:val="00002972"/>
    <w:rsid w:val="00003673"/>
    <w:rsid w:val="00003EB2"/>
    <w:rsid w:val="0000499A"/>
    <w:rsid w:val="00005762"/>
    <w:rsid w:val="0000585B"/>
    <w:rsid w:val="00005A9D"/>
    <w:rsid w:val="00005D03"/>
    <w:rsid w:val="00006627"/>
    <w:rsid w:val="00007202"/>
    <w:rsid w:val="0001031C"/>
    <w:rsid w:val="00010D0C"/>
    <w:rsid w:val="00011013"/>
    <w:rsid w:val="0001159F"/>
    <w:rsid w:val="00011AAD"/>
    <w:rsid w:val="00012085"/>
    <w:rsid w:val="0001354A"/>
    <w:rsid w:val="00015BCD"/>
    <w:rsid w:val="00017286"/>
    <w:rsid w:val="000204A1"/>
    <w:rsid w:val="000226E2"/>
    <w:rsid w:val="00022E5C"/>
    <w:rsid w:val="000232B9"/>
    <w:rsid w:val="00023995"/>
    <w:rsid w:val="00023E3C"/>
    <w:rsid w:val="000258A5"/>
    <w:rsid w:val="00025D24"/>
    <w:rsid w:val="00025D88"/>
    <w:rsid w:val="000306FF"/>
    <w:rsid w:val="00030970"/>
    <w:rsid w:val="00030B87"/>
    <w:rsid w:val="00030E07"/>
    <w:rsid w:val="0003162D"/>
    <w:rsid w:val="00034C4B"/>
    <w:rsid w:val="00035061"/>
    <w:rsid w:val="0004243C"/>
    <w:rsid w:val="00044B31"/>
    <w:rsid w:val="000454E5"/>
    <w:rsid w:val="00045847"/>
    <w:rsid w:val="000462EB"/>
    <w:rsid w:val="000464AD"/>
    <w:rsid w:val="000475B8"/>
    <w:rsid w:val="00051051"/>
    <w:rsid w:val="000531EB"/>
    <w:rsid w:val="00054C3B"/>
    <w:rsid w:val="00054DB5"/>
    <w:rsid w:val="00055D3F"/>
    <w:rsid w:val="00055F3C"/>
    <w:rsid w:val="00056AA2"/>
    <w:rsid w:val="000612F4"/>
    <w:rsid w:val="00061837"/>
    <w:rsid w:val="00062091"/>
    <w:rsid w:val="00062BB9"/>
    <w:rsid w:val="00062CF3"/>
    <w:rsid w:val="0006310C"/>
    <w:rsid w:val="0006330E"/>
    <w:rsid w:val="000639B5"/>
    <w:rsid w:val="00063FAF"/>
    <w:rsid w:val="00064069"/>
    <w:rsid w:val="00065E96"/>
    <w:rsid w:val="00070F96"/>
    <w:rsid w:val="00071357"/>
    <w:rsid w:val="00072A9F"/>
    <w:rsid w:val="000750AC"/>
    <w:rsid w:val="000768D1"/>
    <w:rsid w:val="00077CF1"/>
    <w:rsid w:val="00081CB0"/>
    <w:rsid w:val="00082432"/>
    <w:rsid w:val="000833A6"/>
    <w:rsid w:val="00085E87"/>
    <w:rsid w:val="00086648"/>
    <w:rsid w:val="000911E6"/>
    <w:rsid w:val="000924A1"/>
    <w:rsid w:val="000927D7"/>
    <w:rsid w:val="00093B49"/>
    <w:rsid w:val="00094707"/>
    <w:rsid w:val="00094AD4"/>
    <w:rsid w:val="000954B8"/>
    <w:rsid w:val="0009615E"/>
    <w:rsid w:val="0009675B"/>
    <w:rsid w:val="00097F32"/>
    <w:rsid w:val="000A2CAC"/>
    <w:rsid w:val="000A4CCB"/>
    <w:rsid w:val="000A551C"/>
    <w:rsid w:val="000A564A"/>
    <w:rsid w:val="000A5A42"/>
    <w:rsid w:val="000A6418"/>
    <w:rsid w:val="000A6479"/>
    <w:rsid w:val="000A709B"/>
    <w:rsid w:val="000B04D5"/>
    <w:rsid w:val="000B0578"/>
    <w:rsid w:val="000B192C"/>
    <w:rsid w:val="000B2D28"/>
    <w:rsid w:val="000B3019"/>
    <w:rsid w:val="000B31FF"/>
    <w:rsid w:val="000B48C8"/>
    <w:rsid w:val="000B52DA"/>
    <w:rsid w:val="000B595F"/>
    <w:rsid w:val="000B6783"/>
    <w:rsid w:val="000B73D1"/>
    <w:rsid w:val="000B7D2F"/>
    <w:rsid w:val="000B7E5A"/>
    <w:rsid w:val="000C13BC"/>
    <w:rsid w:val="000C22EF"/>
    <w:rsid w:val="000C3E6D"/>
    <w:rsid w:val="000C41CB"/>
    <w:rsid w:val="000C4232"/>
    <w:rsid w:val="000C6D3C"/>
    <w:rsid w:val="000D1DCF"/>
    <w:rsid w:val="000D235A"/>
    <w:rsid w:val="000D27AE"/>
    <w:rsid w:val="000D2AE2"/>
    <w:rsid w:val="000D3E76"/>
    <w:rsid w:val="000D6F7B"/>
    <w:rsid w:val="000D7F61"/>
    <w:rsid w:val="000E0C0C"/>
    <w:rsid w:val="000E2150"/>
    <w:rsid w:val="000E27A9"/>
    <w:rsid w:val="000E2C52"/>
    <w:rsid w:val="000E2D1A"/>
    <w:rsid w:val="000E3EE7"/>
    <w:rsid w:val="000E5393"/>
    <w:rsid w:val="000E5A7D"/>
    <w:rsid w:val="000E7D02"/>
    <w:rsid w:val="000F0C20"/>
    <w:rsid w:val="000F1312"/>
    <w:rsid w:val="000F1539"/>
    <w:rsid w:val="000F19E2"/>
    <w:rsid w:val="000F2E24"/>
    <w:rsid w:val="000F3421"/>
    <w:rsid w:val="000F353A"/>
    <w:rsid w:val="000F3AA0"/>
    <w:rsid w:val="000F4D1C"/>
    <w:rsid w:val="000F4E67"/>
    <w:rsid w:val="000F673D"/>
    <w:rsid w:val="0010153C"/>
    <w:rsid w:val="0010285D"/>
    <w:rsid w:val="001034C5"/>
    <w:rsid w:val="00105A9E"/>
    <w:rsid w:val="00106BA5"/>
    <w:rsid w:val="00107928"/>
    <w:rsid w:val="001115D3"/>
    <w:rsid w:val="00112057"/>
    <w:rsid w:val="00112E6F"/>
    <w:rsid w:val="001138FE"/>
    <w:rsid w:val="00115F11"/>
    <w:rsid w:val="00117565"/>
    <w:rsid w:val="00117FA7"/>
    <w:rsid w:val="001209A9"/>
    <w:rsid w:val="00121B53"/>
    <w:rsid w:val="00122F79"/>
    <w:rsid w:val="00123987"/>
    <w:rsid w:val="001256CB"/>
    <w:rsid w:val="001268EA"/>
    <w:rsid w:val="001277ED"/>
    <w:rsid w:val="00130E40"/>
    <w:rsid w:val="00131E37"/>
    <w:rsid w:val="00132142"/>
    <w:rsid w:val="0013268F"/>
    <w:rsid w:val="00132787"/>
    <w:rsid w:val="001329AC"/>
    <w:rsid w:val="00132C65"/>
    <w:rsid w:val="00133358"/>
    <w:rsid w:val="00133726"/>
    <w:rsid w:val="00133740"/>
    <w:rsid w:val="001344D5"/>
    <w:rsid w:val="00140475"/>
    <w:rsid w:val="00142500"/>
    <w:rsid w:val="00143456"/>
    <w:rsid w:val="0014449B"/>
    <w:rsid w:val="00144C08"/>
    <w:rsid w:val="00144E05"/>
    <w:rsid w:val="00147DF3"/>
    <w:rsid w:val="001503A0"/>
    <w:rsid w:val="0015067A"/>
    <w:rsid w:val="00150AEB"/>
    <w:rsid w:val="00151615"/>
    <w:rsid w:val="00151D45"/>
    <w:rsid w:val="00154207"/>
    <w:rsid w:val="0015447E"/>
    <w:rsid w:val="001552F2"/>
    <w:rsid w:val="00155A9D"/>
    <w:rsid w:val="00156112"/>
    <w:rsid w:val="001572E1"/>
    <w:rsid w:val="00157AFC"/>
    <w:rsid w:val="00160277"/>
    <w:rsid w:val="001603F5"/>
    <w:rsid w:val="001618B9"/>
    <w:rsid w:val="00161A87"/>
    <w:rsid w:val="00162726"/>
    <w:rsid w:val="00163718"/>
    <w:rsid w:val="00163D68"/>
    <w:rsid w:val="001640AC"/>
    <w:rsid w:val="001645B5"/>
    <w:rsid w:val="00164DF0"/>
    <w:rsid w:val="00164FF6"/>
    <w:rsid w:val="00165044"/>
    <w:rsid w:val="001665D8"/>
    <w:rsid w:val="00170805"/>
    <w:rsid w:val="00170927"/>
    <w:rsid w:val="00170FFA"/>
    <w:rsid w:val="001717FA"/>
    <w:rsid w:val="00174834"/>
    <w:rsid w:val="00175FEF"/>
    <w:rsid w:val="0017650F"/>
    <w:rsid w:val="00176A9E"/>
    <w:rsid w:val="00181A88"/>
    <w:rsid w:val="00181F80"/>
    <w:rsid w:val="00184277"/>
    <w:rsid w:val="00184849"/>
    <w:rsid w:val="00185F9E"/>
    <w:rsid w:val="00186E28"/>
    <w:rsid w:val="00187465"/>
    <w:rsid w:val="00190672"/>
    <w:rsid w:val="00191BA1"/>
    <w:rsid w:val="00193B5D"/>
    <w:rsid w:val="0019544C"/>
    <w:rsid w:val="00197070"/>
    <w:rsid w:val="001972A2"/>
    <w:rsid w:val="001979C0"/>
    <w:rsid w:val="001A0DF7"/>
    <w:rsid w:val="001A1081"/>
    <w:rsid w:val="001A109A"/>
    <w:rsid w:val="001A18FD"/>
    <w:rsid w:val="001A22CE"/>
    <w:rsid w:val="001A23DC"/>
    <w:rsid w:val="001A250F"/>
    <w:rsid w:val="001A265E"/>
    <w:rsid w:val="001A49B3"/>
    <w:rsid w:val="001A6448"/>
    <w:rsid w:val="001A6B19"/>
    <w:rsid w:val="001B364A"/>
    <w:rsid w:val="001B41D2"/>
    <w:rsid w:val="001B472D"/>
    <w:rsid w:val="001B6CE7"/>
    <w:rsid w:val="001B764A"/>
    <w:rsid w:val="001B7F61"/>
    <w:rsid w:val="001C32BB"/>
    <w:rsid w:val="001C45B8"/>
    <w:rsid w:val="001C7D43"/>
    <w:rsid w:val="001D26F5"/>
    <w:rsid w:val="001D389F"/>
    <w:rsid w:val="001D3A34"/>
    <w:rsid w:val="001E0E4C"/>
    <w:rsid w:val="001E3A52"/>
    <w:rsid w:val="001E3A87"/>
    <w:rsid w:val="001E3D5B"/>
    <w:rsid w:val="001E475C"/>
    <w:rsid w:val="001E5242"/>
    <w:rsid w:val="001E60E3"/>
    <w:rsid w:val="001E77E3"/>
    <w:rsid w:val="001F02E2"/>
    <w:rsid w:val="001F5732"/>
    <w:rsid w:val="001F5D44"/>
    <w:rsid w:val="001F6941"/>
    <w:rsid w:val="001F75D7"/>
    <w:rsid w:val="001F7C85"/>
    <w:rsid w:val="00200D2C"/>
    <w:rsid w:val="0020146A"/>
    <w:rsid w:val="00201952"/>
    <w:rsid w:val="00201D96"/>
    <w:rsid w:val="0020420A"/>
    <w:rsid w:val="002060AC"/>
    <w:rsid w:val="00206104"/>
    <w:rsid w:val="002100D1"/>
    <w:rsid w:val="0021069E"/>
    <w:rsid w:val="00213001"/>
    <w:rsid w:val="0021378F"/>
    <w:rsid w:val="0021709D"/>
    <w:rsid w:val="00217DDB"/>
    <w:rsid w:val="002208AF"/>
    <w:rsid w:val="0022114E"/>
    <w:rsid w:val="00221F2C"/>
    <w:rsid w:val="00223A61"/>
    <w:rsid w:val="00224261"/>
    <w:rsid w:val="00224FFB"/>
    <w:rsid w:val="00225FFF"/>
    <w:rsid w:val="00226D36"/>
    <w:rsid w:val="0022727C"/>
    <w:rsid w:val="00227AD5"/>
    <w:rsid w:val="00230738"/>
    <w:rsid w:val="00230D02"/>
    <w:rsid w:val="002329E2"/>
    <w:rsid w:val="002336A9"/>
    <w:rsid w:val="00234480"/>
    <w:rsid w:val="0023498A"/>
    <w:rsid w:val="002350D3"/>
    <w:rsid w:val="00235894"/>
    <w:rsid w:val="00235F89"/>
    <w:rsid w:val="00236068"/>
    <w:rsid w:val="00236288"/>
    <w:rsid w:val="00236886"/>
    <w:rsid w:val="002404CD"/>
    <w:rsid w:val="0024092B"/>
    <w:rsid w:val="00241549"/>
    <w:rsid w:val="00242BD9"/>
    <w:rsid w:val="0024469F"/>
    <w:rsid w:val="0024583B"/>
    <w:rsid w:val="00247646"/>
    <w:rsid w:val="00247E05"/>
    <w:rsid w:val="0025115A"/>
    <w:rsid w:val="0025238E"/>
    <w:rsid w:val="002534A9"/>
    <w:rsid w:val="00253735"/>
    <w:rsid w:val="00253FAD"/>
    <w:rsid w:val="00254E40"/>
    <w:rsid w:val="00254E90"/>
    <w:rsid w:val="00256124"/>
    <w:rsid w:val="00260FE4"/>
    <w:rsid w:val="0026130A"/>
    <w:rsid w:val="002636E1"/>
    <w:rsid w:val="00265116"/>
    <w:rsid w:val="00265782"/>
    <w:rsid w:val="00266CDD"/>
    <w:rsid w:val="00267C94"/>
    <w:rsid w:val="0027016A"/>
    <w:rsid w:val="00270410"/>
    <w:rsid w:val="00271EC9"/>
    <w:rsid w:val="0027268A"/>
    <w:rsid w:val="002737E2"/>
    <w:rsid w:val="002746E1"/>
    <w:rsid w:val="00274CBB"/>
    <w:rsid w:val="00275897"/>
    <w:rsid w:val="00276CC5"/>
    <w:rsid w:val="00276EE4"/>
    <w:rsid w:val="00277A1B"/>
    <w:rsid w:val="00277B0B"/>
    <w:rsid w:val="002804FB"/>
    <w:rsid w:val="00281B70"/>
    <w:rsid w:val="00283139"/>
    <w:rsid w:val="00283290"/>
    <w:rsid w:val="00283816"/>
    <w:rsid w:val="0028484F"/>
    <w:rsid w:val="0028499D"/>
    <w:rsid w:val="0028537C"/>
    <w:rsid w:val="00285BAB"/>
    <w:rsid w:val="002926B4"/>
    <w:rsid w:val="002931BF"/>
    <w:rsid w:val="00293272"/>
    <w:rsid w:val="00293389"/>
    <w:rsid w:val="00293CC0"/>
    <w:rsid w:val="00294870"/>
    <w:rsid w:val="002948A4"/>
    <w:rsid w:val="002950EC"/>
    <w:rsid w:val="0029649C"/>
    <w:rsid w:val="0029680E"/>
    <w:rsid w:val="00297A26"/>
    <w:rsid w:val="00297A62"/>
    <w:rsid w:val="00297AD8"/>
    <w:rsid w:val="00297CC8"/>
    <w:rsid w:val="002A1B1C"/>
    <w:rsid w:val="002A20E2"/>
    <w:rsid w:val="002A2B2C"/>
    <w:rsid w:val="002A49A0"/>
    <w:rsid w:val="002A4DC9"/>
    <w:rsid w:val="002A6192"/>
    <w:rsid w:val="002A6736"/>
    <w:rsid w:val="002A7A18"/>
    <w:rsid w:val="002B27F6"/>
    <w:rsid w:val="002B2BFC"/>
    <w:rsid w:val="002B2D40"/>
    <w:rsid w:val="002B3861"/>
    <w:rsid w:val="002B3B7C"/>
    <w:rsid w:val="002B4841"/>
    <w:rsid w:val="002B4C42"/>
    <w:rsid w:val="002B4EC4"/>
    <w:rsid w:val="002B5FB9"/>
    <w:rsid w:val="002C06DA"/>
    <w:rsid w:val="002C0A39"/>
    <w:rsid w:val="002C1D77"/>
    <w:rsid w:val="002C3C2B"/>
    <w:rsid w:val="002C65F0"/>
    <w:rsid w:val="002C6EF8"/>
    <w:rsid w:val="002D08CF"/>
    <w:rsid w:val="002D0E44"/>
    <w:rsid w:val="002D2E42"/>
    <w:rsid w:val="002D3C01"/>
    <w:rsid w:val="002D3D15"/>
    <w:rsid w:val="002D41D5"/>
    <w:rsid w:val="002D47CA"/>
    <w:rsid w:val="002D5F26"/>
    <w:rsid w:val="002D7F15"/>
    <w:rsid w:val="002E0A0C"/>
    <w:rsid w:val="002E1023"/>
    <w:rsid w:val="002E1717"/>
    <w:rsid w:val="002E1A78"/>
    <w:rsid w:val="002E3355"/>
    <w:rsid w:val="002E3AF3"/>
    <w:rsid w:val="002E4098"/>
    <w:rsid w:val="002E4863"/>
    <w:rsid w:val="002E5AA2"/>
    <w:rsid w:val="002E5DE9"/>
    <w:rsid w:val="002E6606"/>
    <w:rsid w:val="002E6687"/>
    <w:rsid w:val="002E6A83"/>
    <w:rsid w:val="002F0703"/>
    <w:rsid w:val="002F4AA0"/>
    <w:rsid w:val="002F58DF"/>
    <w:rsid w:val="002F6095"/>
    <w:rsid w:val="002F6A19"/>
    <w:rsid w:val="002F6D37"/>
    <w:rsid w:val="00300140"/>
    <w:rsid w:val="003012F4"/>
    <w:rsid w:val="00301D7C"/>
    <w:rsid w:val="00302A4B"/>
    <w:rsid w:val="00302D54"/>
    <w:rsid w:val="003030DA"/>
    <w:rsid w:val="003036CD"/>
    <w:rsid w:val="003036D8"/>
    <w:rsid w:val="003066B2"/>
    <w:rsid w:val="00306F72"/>
    <w:rsid w:val="003078AC"/>
    <w:rsid w:val="003079BA"/>
    <w:rsid w:val="00310198"/>
    <w:rsid w:val="00310544"/>
    <w:rsid w:val="003105E4"/>
    <w:rsid w:val="00312B72"/>
    <w:rsid w:val="0031407B"/>
    <w:rsid w:val="0031413B"/>
    <w:rsid w:val="003153E0"/>
    <w:rsid w:val="00316C26"/>
    <w:rsid w:val="00321168"/>
    <w:rsid w:val="0032221E"/>
    <w:rsid w:val="00323B68"/>
    <w:rsid w:val="003302C7"/>
    <w:rsid w:val="00331D4A"/>
    <w:rsid w:val="003326F3"/>
    <w:rsid w:val="00332A9F"/>
    <w:rsid w:val="00333983"/>
    <w:rsid w:val="00333A74"/>
    <w:rsid w:val="003350B2"/>
    <w:rsid w:val="0034038E"/>
    <w:rsid w:val="003415D0"/>
    <w:rsid w:val="0034224D"/>
    <w:rsid w:val="00342970"/>
    <w:rsid w:val="00346DF1"/>
    <w:rsid w:val="003471CE"/>
    <w:rsid w:val="0035128F"/>
    <w:rsid w:val="00351D97"/>
    <w:rsid w:val="0035222E"/>
    <w:rsid w:val="00352B2D"/>
    <w:rsid w:val="003540C8"/>
    <w:rsid w:val="00354B57"/>
    <w:rsid w:val="00354E62"/>
    <w:rsid w:val="003551E6"/>
    <w:rsid w:val="0035711F"/>
    <w:rsid w:val="00357528"/>
    <w:rsid w:val="00360B1B"/>
    <w:rsid w:val="00361AC6"/>
    <w:rsid w:val="00361F94"/>
    <w:rsid w:val="003620E1"/>
    <w:rsid w:val="003622B8"/>
    <w:rsid w:val="00363AA2"/>
    <w:rsid w:val="0036478D"/>
    <w:rsid w:val="00365268"/>
    <w:rsid w:val="0036632E"/>
    <w:rsid w:val="00366487"/>
    <w:rsid w:val="00370307"/>
    <w:rsid w:val="0037044C"/>
    <w:rsid w:val="00371FB2"/>
    <w:rsid w:val="00372CB9"/>
    <w:rsid w:val="00373D92"/>
    <w:rsid w:val="00375B67"/>
    <w:rsid w:val="00376162"/>
    <w:rsid w:val="00376E8A"/>
    <w:rsid w:val="00377065"/>
    <w:rsid w:val="00377BFC"/>
    <w:rsid w:val="0038137A"/>
    <w:rsid w:val="00381571"/>
    <w:rsid w:val="00382B49"/>
    <w:rsid w:val="00382CDA"/>
    <w:rsid w:val="0038401D"/>
    <w:rsid w:val="00384D89"/>
    <w:rsid w:val="00385733"/>
    <w:rsid w:val="00385994"/>
    <w:rsid w:val="003871DE"/>
    <w:rsid w:val="00387961"/>
    <w:rsid w:val="00390918"/>
    <w:rsid w:val="00391021"/>
    <w:rsid w:val="00391DB0"/>
    <w:rsid w:val="003934A4"/>
    <w:rsid w:val="00393A60"/>
    <w:rsid w:val="00395836"/>
    <w:rsid w:val="003971BF"/>
    <w:rsid w:val="00397786"/>
    <w:rsid w:val="003A0215"/>
    <w:rsid w:val="003A0255"/>
    <w:rsid w:val="003A0ECD"/>
    <w:rsid w:val="003A199D"/>
    <w:rsid w:val="003A27B0"/>
    <w:rsid w:val="003A29BC"/>
    <w:rsid w:val="003A3137"/>
    <w:rsid w:val="003A40B1"/>
    <w:rsid w:val="003A6E60"/>
    <w:rsid w:val="003A7CD4"/>
    <w:rsid w:val="003A7F57"/>
    <w:rsid w:val="003B0D26"/>
    <w:rsid w:val="003B59D4"/>
    <w:rsid w:val="003B609B"/>
    <w:rsid w:val="003C0D66"/>
    <w:rsid w:val="003C3A8B"/>
    <w:rsid w:val="003C3F5A"/>
    <w:rsid w:val="003C6AC4"/>
    <w:rsid w:val="003C6EE0"/>
    <w:rsid w:val="003C759B"/>
    <w:rsid w:val="003C7B58"/>
    <w:rsid w:val="003D03CC"/>
    <w:rsid w:val="003D0F9D"/>
    <w:rsid w:val="003D2DAE"/>
    <w:rsid w:val="003D2FD5"/>
    <w:rsid w:val="003D354B"/>
    <w:rsid w:val="003D3DA2"/>
    <w:rsid w:val="003D5D0E"/>
    <w:rsid w:val="003D735A"/>
    <w:rsid w:val="003D7601"/>
    <w:rsid w:val="003D7C28"/>
    <w:rsid w:val="003D7FAC"/>
    <w:rsid w:val="003E01A8"/>
    <w:rsid w:val="003E2097"/>
    <w:rsid w:val="003E4113"/>
    <w:rsid w:val="003E45FF"/>
    <w:rsid w:val="003E79C5"/>
    <w:rsid w:val="003E7BC4"/>
    <w:rsid w:val="003E7C33"/>
    <w:rsid w:val="003F0194"/>
    <w:rsid w:val="003F0BB2"/>
    <w:rsid w:val="003F0BE3"/>
    <w:rsid w:val="003F1E0F"/>
    <w:rsid w:val="003F245C"/>
    <w:rsid w:val="003F37A6"/>
    <w:rsid w:val="003F3B1C"/>
    <w:rsid w:val="003F3BE2"/>
    <w:rsid w:val="003F550F"/>
    <w:rsid w:val="003F5B63"/>
    <w:rsid w:val="003F5D94"/>
    <w:rsid w:val="003F638A"/>
    <w:rsid w:val="003F6749"/>
    <w:rsid w:val="003F73F0"/>
    <w:rsid w:val="003F7D53"/>
    <w:rsid w:val="003F7F27"/>
    <w:rsid w:val="003F7FED"/>
    <w:rsid w:val="00400046"/>
    <w:rsid w:val="0040064D"/>
    <w:rsid w:val="00401BC1"/>
    <w:rsid w:val="0040345C"/>
    <w:rsid w:val="004073FB"/>
    <w:rsid w:val="004103D7"/>
    <w:rsid w:val="00410834"/>
    <w:rsid w:val="004148C3"/>
    <w:rsid w:val="004151F1"/>
    <w:rsid w:val="00416A91"/>
    <w:rsid w:val="004179D8"/>
    <w:rsid w:val="00420122"/>
    <w:rsid w:val="004202EA"/>
    <w:rsid w:val="0042277B"/>
    <w:rsid w:val="0042371F"/>
    <w:rsid w:val="0042437B"/>
    <w:rsid w:val="00426822"/>
    <w:rsid w:val="0042782C"/>
    <w:rsid w:val="004307EF"/>
    <w:rsid w:val="00430EDC"/>
    <w:rsid w:val="0043349E"/>
    <w:rsid w:val="00434888"/>
    <w:rsid w:val="00434904"/>
    <w:rsid w:val="0043570F"/>
    <w:rsid w:val="00437B4E"/>
    <w:rsid w:val="004410D8"/>
    <w:rsid w:val="004412C4"/>
    <w:rsid w:val="00441A9F"/>
    <w:rsid w:val="00442D03"/>
    <w:rsid w:val="00442D34"/>
    <w:rsid w:val="004436F9"/>
    <w:rsid w:val="004443A2"/>
    <w:rsid w:val="00447D4E"/>
    <w:rsid w:val="00450DC0"/>
    <w:rsid w:val="004517D5"/>
    <w:rsid w:val="00453C54"/>
    <w:rsid w:val="00453D78"/>
    <w:rsid w:val="004564A8"/>
    <w:rsid w:val="00457352"/>
    <w:rsid w:val="0045748E"/>
    <w:rsid w:val="00460363"/>
    <w:rsid w:val="00460B5A"/>
    <w:rsid w:val="00461C08"/>
    <w:rsid w:val="0046518E"/>
    <w:rsid w:val="004679F9"/>
    <w:rsid w:val="00470B6F"/>
    <w:rsid w:val="00472A09"/>
    <w:rsid w:val="00472E3A"/>
    <w:rsid w:val="00477250"/>
    <w:rsid w:val="004805BB"/>
    <w:rsid w:val="00480E0A"/>
    <w:rsid w:val="004816E5"/>
    <w:rsid w:val="00481AD8"/>
    <w:rsid w:val="00481FB0"/>
    <w:rsid w:val="00482261"/>
    <w:rsid w:val="004824DB"/>
    <w:rsid w:val="0048377A"/>
    <w:rsid w:val="00484C53"/>
    <w:rsid w:val="0048675C"/>
    <w:rsid w:val="00490097"/>
    <w:rsid w:val="004913C4"/>
    <w:rsid w:val="00491B6F"/>
    <w:rsid w:val="00491D73"/>
    <w:rsid w:val="004938B2"/>
    <w:rsid w:val="0049581F"/>
    <w:rsid w:val="0049683B"/>
    <w:rsid w:val="0049684C"/>
    <w:rsid w:val="0049700C"/>
    <w:rsid w:val="00497463"/>
    <w:rsid w:val="004A1737"/>
    <w:rsid w:val="004A1BE2"/>
    <w:rsid w:val="004A2A92"/>
    <w:rsid w:val="004A2C3D"/>
    <w:rsid w:val="004A2D39"/>
    <w:rsid w:val="004A3F9E"/>
    <w:rsid w:val="004A4320"/>
    <w:rsid w:val="004A6465"/>
    <w:rsid w:val="004A6A6E"/>
    <w:rsid w:val="004B06A1"/>
    <w:rsid w:val="004B10EF"/>
    <w:rsid w:val="004B1E1F"/>
    <w:rsid w:val="004B22F9"/>
    <w:rsid w:val="004B3C5A"/>
    <w:rsid w:val="004B44CB"/>
    <w:rsid w:val="004B546D"/>
    <w:rsid w:val="004B6603"/>
    <w:rsid w:val="004B6A9C"/>
    <w:rsid w:val="004B7171"/>
    <w:rsid w:val="004C088D"/>
    <w:rsid w:val="004C4752"/>
    <w:rsid w:val="004C51FA"/>
    <w:rsid w:val="004C6061"/>
    <w:rsid w:val="004C646D"/>
    <w:rsid w:val="004C6789"/>
    <w:rsid w:val="004C6A24"/>
    <w:rsid w:val="004C7533"/>
    <w:rsid w:val="004C75B5"/>
    <w:rsid w:val="004C7D64"/>
    <w:rsid w:val="004D0C4E"/>
    <w:rsid w:val="004D1396"/>
    <w:rsid w:val="004D3FAD"/>
    <w:rsid w:val="004E0C2C"/>
    <w:rsid w:val="004E0FAA"/>
    <w:rsid w:val="004E1AF3"/>
    <w:rsid w:val="004E2245"/>
    <w:rsid w:val="004E23E0"/>
    <w:rsid w:val="004E29FA"/>
    <w:rsid w:val="004E328D"/>
    <w:rsid w:val="004E4F44"/>
    <w:rsid w:val="004E56A2"/>
    <w:rsid w:val="004E5E07"/>
    <w:rsid w:val="004E6CBA"/>
    <w:rsid w:val="004E7557"/>
    <w:rsid w:val="004E7C6E"/>
    <w:rsid w:val="004F0B58"/>
    <w:rsid w:val="004F1118"/>
    <w:rsid w:val="004F3E63"/>
    <w:rsid w:val="0050049D"/>
    <w:rsid w:val="00501349"/>
    <w:rsid w:val="00502239"/>
    <w:rsid w:val="005029DC"/>
    <w:rsid w:val="00503DD7"/>
    <w:rsid w:val="00505ECA"/>
    <w:rsid w:val="005062A1"/>
    <w:rsid w:val="005065D0"/>
    <w:rsid w:val="005068D6"/>
    <w:rsid w:val="0050731A"/>
    <w:rsid w:val="00511472"/>
    <w:rsid w:val="00512736"/>
    <w:rsid w:val="00513D48"/>
    <w:rsid w:val="00514546"/>
    <w:rsid w:val="00517759"/>
    <w:rsid w:val="00517D4A"/>
    <w:rsid w:val="005205AB"/>
    <w:rsid w:val="00520AB7"/>
    <w:rsid w:val="00521458"/>
    <w:rsid w:val="00522455"/>
    <w:rsid w:val="0052255B"/>
    <w:rsid w:val="0052307A"/>
    <w:rsid w:val="005238B8"/>
    <w:rsid w:val="00525A3F"/>
    <w:rsid w:val="00526323"/>
    <w:rsid w:val="00526C1C"/>
    <w:rsid w:val="00531313"/>
    <w:rsid w:val="00531731"/>
    <w:rsid w:val="00533E9F"/>
    <w:rsid w:val="00534E2B"/>
    <w:rsid w:val="00535BAB"/>
    <w:rsid w:val="005363A1"/>
    <w:rsid w:val="0054145E"/>
    <w:rsid w:val="00542BD8"/>
    <w:rsid w:val="00544BD1"/>
    <w:rsid w:val="00546697"/>
    <w:rsid w:val="00550F70"/>
    <w:rsid w:val="005533C4"/>
    <w:rsid w:val="00553FFD"/>
    <w:rsid w:val="00554497"/>
    <w:rsid w:val="005578B0"/>
    <w:rsid w:val="0056313F"/>
    <w:rsid w:val="00563DAA"/>
    <w:rsid w:val="0056565B"/>
    <w:rsid w:val="005678CD"/>
    <w:rsid w:val="00567A29"/>
    <w:rsid w:val="00570305"/>
    <w:rsid w:val="00570E5B"/>
    <w:rsid w:val="005710A7"/>
    <w:rsid w:val="00572387"/>
    <w:rsid w:val="00572F2C"/>
    <w:rsid w:val="00573186"/>
    <w:rsid w:val="005742A6"/>
    <w:rsid w:val="00574EDA"/>
    <w:rsid w:val="005750DC"/>
    <w:rsid w:val="00575686"/>
    <w:rsid w:val="0057615C"/>
    <w:rsid w:val="00576B12"/>
    <w:rsid w:val="00577A1A"/>
    <w:rsid w:val="00580749"/>
    <w:rsid w:val="00581361"/>
    <w:rsid w:val="005814D2"/>
    <w:rsid w:val="0059174F"/>
    <w:rsid w:val="00591C42"/>
    <w:rsid w:val="00593A83"/>
    <w:rsid w:val="00596502"/>
    <w:rsid w:val="00596D1D"/>
    <w:rsid w:val="00597100"/>
    <w:rsid w:val="0059715E"/>
    <w:rsid w:val="005A06FF"/>
    <w:rsid w:val="005A0B01"/>
    <w:rsid w:val="005A15E7"/>
    <w:rsid w:val="005A160B"/>
    <w:rsid w:val="005A21C3"/>
    <w:rsid w:val="005A24F6"/>
    <w:rsid w:val="005A3C54"/>
    <w:rsid w:val="005A42A5"/>
    <w:rsid w:val="005A432E"/>
    <w:rsid w:val="005A6433"/>
    <w:rsid w:val="005B0E50"/>
    <w:rsid w:val="005B24BC"/>
    <w:rsid w:val="005B2BAF"/>
    <w:rsid w:val="005B2F6E"/>
    <w:rsid w:val="005B3328"/>
    <w:rsid w:val="005B46C9"/>
    <w:rsid w:val="005B4D5A"/>
    <w:rsid w:val="005B56E3"/>
    <w:rsid w:val="005B6D1F"/>
    <w:rsid w:val="005B74FD"/>
    <w:rsid w:val="005B78E9"/>
    <w:rsid w:val="005C049D"/>
    <w:rsid w:val="005C0F4B"/>
    <w:rsid w:val="005C13FB"/>
    <w:rsid w:val="005C2550"/>
    <w:rsid w:val="005C2BE3"/>
    <w:rsid w:val="005C2F71"/>
    <w:rsid w:val="005C41BA"/>
    <w:rsid w:val="005C4D02"/>
    <w:rsid w:val="005C5343"/>
    <w:rsid w:val="005C6FBC"/>
    <w:rsid w:val="005C72C3"/>
    <w:rsid w:val="005D1084"/>
    <w:rsid w:val="005D145C"/>
    <w:rsid w:val="005D4630"/>
    <w:rsid w:val="005D544E"/>
    <w:rsid w:val="005D6099"/>
    <w:rsid w:val="005E037D"/>
    <w:rsid w:val="005E1068"/>
    <w:rsid w:val="005E1BBF"/>
    <w:rsid w:val="005E241C"/>
    <w:rsid w:val="005E2A4C"/>
    <w:rsid w:val="005E3EB5"/>
    <w:rsid w:val="005E4074"/>
    <w:rsid w:val="005E493F"/>
    <w:rsid w:val="005E5CAF"/>
    <w:rsid w:val="005E6E1F"/>
    <w:rsid w:val="005E70D5"/>
    <w:rsid w:val="005F39AD"/>
    <w:rsid w:val="005F501B"/>
    <w:rsid w:val="005F6B6C"/>
    <w:rsid w:val="005F6F82"/>
    <w:rsid w:val="00601672"/>
    <w:rsid w:val="00602608"/>
    <w:rsid w:val="00602FB2"/>
    <w:rsid w:val="0060435D"/>
    <w:rsid w:val="00606BA5"/>
    <w:rsid w:val="00606F7C"/>
    <w:rsid w:val="00607064"/>
    <w:rsid w:val="00607C7F"/>
    <w:rsid w:val="00610963"/>
    <w:rsid w:val="00610F7D"/>
    <w:rsid w:val="00613D16"/>
    <w:rsid w:val="00614446"/>
    <w:rsid w:val="00614785"/>
    <w:rsid w:val="006161CF"/>
    <w:rsid w:val="00616270"/>
    <w:rsid w:val="0062090C"/>
    <w:rsid w:val="00620D8E"/>
    <w:rsid w:val="00622D65"/>
    <w:rsid w:val="006234E7"/>
    <w:rsid w:val="00624854"/>
    <w:rsid w:val="00624AA0"/>
    <w:rsid w:val="00624EA3"/>
    <w:rsid w:val="00625B43"/>
    <w:rsid w:val="00626FDD"/>
    <w:rsid w:val="00627B23"/>
    <w:rsid w:val="00627D2B"/>
    <w:rsid w:val="00630B13"/>
    <w:rsid w:val="00630FA2"/>
    <w:rsid w:val="0063229E"/>
    <w:rsid w:val="0063256E"/>
    <w:rsid w:val="006328F4"/>
    <w:rsid w:val="00632DF8"/>
    <w:rsid w:val="006331A0"/>
    <w:rsid w:val="006344A1"/>
    <w:rsid w:val="00635901"/>
    <w:rsid w:val="00635D21"/>
    <w:rsid w:val="00636062"/>
    <w:rsid w:val="00637806"/>
    <w:rsid w:val="00640E54"/>
    <w:rsid w:val="00640F64"/>
    <w:rsid w:val="00641BD3"/>
    <w:rsid w:val="00644776"/>
    <w:rsid w:val="006449BA"/>
    <w:rsid w:val="0064549D"/>
    <w:rsid w:val="00645758"/>
    <w:rsid w:val="00646403"/>
    <w:rsid w:val="00646AF0"/>
    <w:rsid w:val="0064713B"/>
    <w:rsid w:val="0064744A"/>
    <w:rsid w:val="006474A4"/>
    <w:rsid w:val="00647E97"/>
    <w:rsid w:val="00650BA3"/>
    <w:rsid w:val="006518E2"/>
    <w:rsid w:val="00651B6D"/>
    <w:rsid w:val="006539F4"/>
    <w:rsid w:val="006546E2"/>
    <w:rsid w:val="00655521"/>
    <w:rsid w:val="0065634F"/>
    <w:rsid w:val="00661071"/>
    <w:rsid w:val="006614EE"/>
    <w:rsid w:val="00662EB0"/>
    <w:rsid w:val="006639DD"/>
    <w:rsid w:val="00663C8D"/>
    <w:rsid w:val="006650F6"/>
    <w:rsid w:val="006656F4"/>
    <w:rsid w:val="00667749"/>
    <w:rsid w:val="00667A85"/>
    <w:rsid w:val="00671730"/>
    <w:rsid w:val="00672904"/>
    <w:rsid w:val="00672C2C"/>
    <w:rsid w:val="006765E0"/>
    <w:rsid w:val="00677F26"/>
    <w:rsid w:val="00681E89"/>
    <w:rsid w:val="00681F52"/>
    <w:rsid w:val="00682703"/>
    <w:rsid w:val="00683EA8"/>
    <w:rsid w:val="0068447C"/>
    <w:rsid w:val="0068474C"/>
    <w:rsid w:val="006847A5"/>
    <w:rsid w:val="00685015"/>
    <w:rsid w:val="00686CC5"/>
    <w:rsid w:val="00687199"/>
    <w:rsid w:val="006900A2"/>
    <w:rsid w:val="00690180"/>
    <w:rsid w:val="00690D65"/>
    <w:rsid w:val="006913C5"/>
    <w:rsid w:val="00695F35"/>
    <w:rsid w:val="00696880"/>
    <w:rsid w:val="00696DC2"/>
    <w:rsid w:val="006972F7"/>
    <w:rsid w:val="00697A8F"/>
    <w:rsid w:val="006A0DF2"/>
    <w:rsid w:val="006A184F"/>
    <w:rsid w:val="006A20A5"/>
    <w:rsid w:val="006A20A7"/>
    <w:rsid w:val="006A2260"/>
    <w:rsid w:val="006A4069"/>
    <w:rsid w:val="006A4C1E"/>
    <w:rsid w:val="006A4F99"/>
    <w:rsid w:val="006B1C56"/>
    <w:rsid w:val="006B3007"/>
    <w:rsid w:val="006B3128"/>
    <w:rsid w:val="006B3FFA"/>
    <w:rsid w:val="006B45A4"/>
    <w:rsid w:val="006B50D2"/>
    <w:rsid w:val="006B54E5"/>
    <w:rsid w:val="006B7EB7"/>
    <w:rsid w:val="006C0EAF"/>
    <w:rsid w:val="006C2134"/>
    <w:rsid w:val="006C4A5D"/>
    <w:rsid w:val="006C5235"/>
    <w:rsid w:val="006C5455"/>
    <w:rsid w:val="006C5AB5"/>
    <w:rsid w:val="006C6896"/>
    <w:rsid w:val="006D32F4"/>
    <w:rsid w:val="006D3742"/>
    <w:rsid w:val="006D538F"/>
    <w:rsid w:val="006D77F2"/>
    <w:rsid w:val="006E0511"/>
    <w:rsid w:val="006E0C8E"/>
    <w:rsid w:val="006E170A"/>
    <w:rsid w:val="006E255D"/>
    <w:rsid w:val="006E31EC"/>
    <w:rsid w:val="006E502A"/>
    <w:rsid w:val="006E53E8"/>
    <w:rsid w:val="006E70D2"/>
    <w:rsid w:val="006E7992"/>
    <w:rsid w:val="006F07A1"/>
    <w:rsid w:val="006F0A83"/>
    <w:rsid w:val="006F0CC9"/>
    <w:rsid w:val="006F2330"/>
    <w:rsid w:val="006F305A"/>
    <w:rsid w:val="006F346C"/>
    <w:rsid w:val="006F3AFD"/>
    <w:rsid w:val="006F4043"/>
    <w:rsid w:val="006F4A44"/>
    <w:rsid w:val="006F56B3"/>
    <w:rsid w:val="006F597F"/>
    <w:rsid w:val="006F5BED"/>
    <w:rsid w:val="006F747A"/>
    <w:rsid w:val="007012A2"/>
    <w:rsid w:val="00701465"/>
    <w:rsid w:val="00701667"/>
    <w:rsid w:val="007020A8"/>
    <w:rsid w:val="00704CF9"/>
    <w:rsid w:val="00704EC5"/>
    <w:rsid w:val="007056C2"/>
    <w:rsid w:val="0070644E"/>
    <w:rsid w:val="00706695"/>
    <w:rsid w:val="00711618"/>
    <w:rsid w:val="007116D9"/>
    <w:rsid w:val="0071436A"/>
    <w:rsid w:val="007165DA"/>
    <w:rsid w:val="007172A2"/>
    <w:rsid w:val="0072111C"/>
    <w:rsid w:val="00721D3D"/>
    <w:rsid w:val="007224EB"/>
    <w:rsid w:val="007224EE"/>
    <w:rsid w:val="00722A57"/>
    <w:rsid w:val="007238A4"/>
    <w:rsid w:val="00724467"/>
    <w:rsid w:val="00725FD4"/>
    <w:rsid w:val="00726699"/>
    <w:rsid w:val="0072683E"/>
    <w:rsid w:val="007269F7"/>
    <w:rsid w:val="00726CBC"/>
    <w:rsid w:val="007272CD"/>
    <w:rsid w:val="00727B5B"/>
    <w:rsid w:val="00727D31"/>
    <w:rsid w:val="007321EC"/>
    <w:rsid w:val="007327B5"/>
    <w:rsid w:val="007332C8"/>
    <w:rsid w:val="00736250"/>
    <w:rsid w:val="00736556"/>
    <w:rsid w:val="00736F5F"/>
    <w:rsid w:val="00737D43"/>
    <w:rsid w:val="00737FED"/>
    <w:rsid w:val="00741EEB"/>
    <w:rsid w:val="007427A4"/>
    <w:rsid w:val="00742844"/>
    <w:rsid w:val="00742D7D"/>
    <w:rsid w:val="00742FFC"/>
    <w:rsid w:val="00743934"/>
    <w:rsid w:val="007441EC"/>
    <w:rsid w:val="007446E0"/>
    <w:rsid w:val="007448D7"/>
    <w:rsid w:val="007448DD"/>
    <w:rsid w:val="0074551F"/>
    <w:rsid w:val="00745864"/>
    <w:rsid w:val="00746C97"/>
    <w:rsid w:val="0074736A"/>
    <w:rsid w:val="0074784B"/>
    <w:rsid w:val="00751031"/>
    <w:rsid w:val="00751458"/>
    <w:rsid w:val="0075590B"/>
    <w:rsid w:val="00757AF9"/>
    <w:rsid w:val="00757E53"/>
    <w:rsid w:val="007603D4"/>
    <w:rsid w:val="007606CE"/>
    <w:rsid w:val="00761ED1"/>
    <w:rsid w:val="00763711"/>
    <w:rsid w:val="00763F53"/>
    <w:rsid w:val="007653C0"/>
    <w:rsid w:val="0076549A"/>
    <w:rsid w:val="0076619F"/>
    <w:rsid w:val="007703F1"/>
    <w:rsid w:val="00770C7C"/>
    <w:rsid w:val="00771D1A"/>
    <w:rsid w:val="007727DE"/>
    <w:rsid w:val="00772A69"/>
    <w:rsid w:val="00772B81"/>
    <w:rsid w:val="00772E24"/>
    <w:rsid w:val="007730BA"/>
    <w:rsid w:val="007732A8"/>
    <w:rsid w:val="00775085"/>
    <w:rsid w:val="007758A6"/>
    <w:rsid w:val="00775958"/>
    <w:rsid w:val="0077676B"/>
    <w:rsid w:val="0078156A"/>
    <w:rsid w:val="00782747"/>
    <w:rsid w:val="00782762"/>
    <w:rsid w:val="007827CA"/>
    <w:rsid w:val="007831B5"/>
    <w:rsid w:val="00786077"/>
    <w:rsid w:val="00786CD3"/>
    <w:rsid w:val="00787BB3"/>
    <w:rsid w:val="007906C3"/>
    <w:rsid w:val="00791132"/>
    <w:rsid w:val="0079115A"/>
    <w:rsid w:val="0079162C"/>
    <w:rsid w:val="007940EE"/>
    <w:rsid w:val="00795CE9"/>
    <w:rsid w:val="007967A1"/>
    <w:rsid w:val="007968AA"/>
    <w:rsid w:val="00796EA0"/>
    <w:rsid w:val="00797FD5"/>
    <w:rsid w:val="007A2940"/>
    <w:rsid w:val="007A2A62"/>
    <w:rsid w:val="007A337C"/>
    <w:rsid w:val="007A37D1"/>
    <w:rsid w:val="007A48A9"/>
    <w:rsid w:val="007A7203"/>
    <w:rsid w:val="007A7593"/>
    <w:rsid w:val="007B27AA"/>
    <w:rsid w:val="007B2B66"/>
    <w:rsid w:val="007B2D64"/>
    <w:rsid w:val="007B2F32"/>
    <w:rsid w:val="007B3327"/>
    <w:rsid w:val="007B3FF4"/>
    <w:rsid w:val="007B53B1"/>
    <w:rsid w:val="007B646B"/>
    <w:rsid w:val="007B73EF"/>
    <w:rsid w:val="007B7B2E"/>
    <w:rsid w:val="007B7CE9"/>
    <w:rsid w:val="007B7CEB"/>
    <w:rsid w:val="007C0F0B"/>
    <w:rsid w:val="007C1071"/>
    <w:rsid w:val="007C1B22"/>
    <w:rsid w:val="007C222D"/>
    <w:rsid w:val="007C3BAB"/>
    <w:rsid w:val="007C61D2"/>
    <w:rsid w:val="007C6A9A"/>
    <w:rsid w:val="007C7101"/>
    <w:rsid w:val="007D2339"/>
    <w:rsid w:val="007D2386"/>
    <w:rsid w:val="007D2B7B"/>
    <w:rsid w:val="007D524E"/>
    <w:rsid w:val="007D5D4A"/>
    <w:rsid w:val="007D71C1"/>
    <w:rsid w:val="007D7C0D"/>
    <w:rsid w:val="007E15EE"/>
    <w:rsid w:val="007E1A00"/>
    <w:rsid w:val="007E2525"/>
    <w:rsid w:val="007E4715"/>
    <w:rsid w:val="007E4E37"/>
    <w:rsid w:val="007E6938"/>
    <w:rsid w:val="007F003F"/>
    <w:rsid w:val="007F0FE6"/>
    <w:rsid w:val="007F2B2D"/>
    <w:rsid w:val="007F2B79"/>
    <w:rsid w:val="007F41B0"/>
    <w:rsid w:val="007F51F8"/>
    <w:rsid w:val="007F5D47"/>
    <w:rsid w:val="007F6218"/>
    <w:rsid w:val="007F72E3"/>
    <w:rsid w:val="007F7B76"/>
    <w:rsid w:val="00800133"/>
    <w:rsid w:val="00800DBF"/>
    <w:rsid w:val="00802CDC"/>
    <w:rsid w:val="0081201B"/>
    <w:rsid w:val="008126DB"/>
    <w:rsid w:val="00812C98"/>
    <w:rsid w:val="00814288"/>
    <w:rsid w:val="00814E35"/>
    <w:rsid w:val="008162CF"/>
    <w:rsid w:val="008164E5"/>
    <w:rsid w:val="00816832"/>
    <w:rsid w:val="0081750B"/>
    <w:rsid w:val="00820539"/>
    <w:rsid w:val="00820F28"/>
    <w:rsid w:val="0082165C"/>
    <w:rsid w:val="00822EC0"/>
    <w:rsid w:val="00822FC1"/>
    <w:rsid w:val="008239E4"/>
    <w:rsid w:val="0082424F"/>
    <w:rsid w:val="00824918"/>
    <w:rsid w:val="00824998"/>
    <w:rsid w:val="00825713"/>
    <w:rsid w:val="00825FDC"/>
    <w:rsid w:val="008263CC"/>
    <w:rsid w:val="00827B54"/>
    <w:rsid w:val="008314A3"/>
    <w:rsid w:val="00831C4D"/>
    <w:rsid w:val="00832086"/>
    <w:rsid w:val="00832FC3"/>
    <w:rsid w:val="0083594C"/>
    <w:rsid w:val="0083642C"/>
    <w:rsid w:val="00837FCB"/>
    <w:rsid w:val="00841101"/>
    <w:rsid w:val="00844849"/>
    <w:rsid w:val="00846195"/>
    <w:rsid w:val="0084629D"/>
    <w:rsid w:val="0084632B"/>
    <w:rsid w:val="008470E6"/>
    <w:rsid w:val="00850DD0"/>
    <w:rsid w:val="00851774"/>
    <w:rsid w:val="008517FB"/>
    <w:rsid w:val="00851D54"/>
    <w:rsid w:val="008551EF"/>
    <w:rsid w:val="0085588A"/>
    <w:rsid w:val="0085590C"/>
    <w:rsid w:val="008617D0"/>
    <w:rsid w:val="00861A2D"/>
    <w:rsid w:val="00861CA8"/>
    <w:rsid w:val="00862E7C"/>
    <w:rsid w:val="00862FB7"/>
    <w:rsid w:val="00863596"/>
    <w:rsid w:val="0086589A"/>
    <w:rsid w:val="00865ED0"/>
    <w:rsid w:val="00866233"/>
    <w:rsid w:val="00870CDA"/>
    <w:rsid w:val="00873F12"/>
    <w:rsid w:val="00881D50"/>
    <w:rsid w:val="0088328E"/>
    <w:rsid w:val="0088345D"/>
    <w:rsid w:val="00883C49"/>
    <w:rsid w:val="00883D3D"/>
    <w:rsid w:val="00885F06"/>
    <w:rsid w:val="008866AE"/>
    <w:rsid w:val="00887E80"/>
    <w:rsid w:val="0089012E"/>
    <w:rsid w:val="00890776"/>
    <w:rsid w:val="0089283B"/>
    <w:rsid w:val="00892F9B"/>
    <w:rsid w:val="0089513E"/>
    <w:rsid w:val="00895B4C"/>
    <w:rsid w:val="00896FFD"/>
    <w:rsid w:val="008A167A"/>
    <w:rsid w:val="008A1D28"/>
    <w:rsid w:val="008A305A"/>
    <w:rsid w:val="008A4978"/>
    <w:rsid w:val="008A6942"/>
    <w:rsid w:val="008A72B6"/>
    <w:rsid w:val="008A7414"/>
    <w:rsid w:val="008A7B92"/>
    <w:rsid w:val="008B0BD9"/>
    <w:rsid w:val="008B0FD6"/>
    <w:rsid w:val="008B307B"/>
    <w:rsid w:val="008B3494"/>
    <w:rsid w:val="008B46B9"/>
    <w:rsid w:val="008B50B9"/>
    <w:rsid w:val="008B7198"/>
    <w:rsid w:val="008C06A3"/>
    <w:rsid w:val="008C0CD9"/>
    <w:rsid w:val="008C11DC"/>
    <w:rsid w:val="008C1E43"/>
    <w:rsid w:val="008C217D"/>
    <w:rsid w:val="008C53B7"/>
    <w:rsid w:val="008C6DB5"/>
    <w:rsid w:val="008C719D"/>
    <w:rsid w:val="008C75CC"/>
    <w:rsid w:val="008D3E30"/>
    <w:rsid w:val="008D455F"/>
    <w:rsid w:val="008D5F01"/>
    <w:rsid w:val="008D7319"/>
    <w:rsid w:val="008D7AB0"/>
    <w:rsid w:val="008D7DCD"/>
    <w:rsid w:val="008E1483"/>
    <w:rsid w:val="008E41BC"/>
    <w:rsid w:val="008E65EB"/>
    <w:rsid w:val="008E72EB"/>
    <w:rsid w:val="008E78B0"/>
    <w:rsid w:val="008F0EDD"/>
    <w:rsid w:val="008F284F"/>
    <w:rsid w:val="008F2A28"/>
    <w:rsid w:val="008F3B6F"/>
    <w:rsid w:val="008F3B83"/>
    <w:rsid w:val="008F739A"/>
    <w:rsid w:val="008F74B6"/>
    <w:rsid w:val="008F7979"/>
    <w:rsid w:val="009002F3"/>
    <w:rsid w:val="0090287F"/>
    <w:rsid w:val="00903557"/>
    <w:rsid w:val="0090428B"/>
    <w:rsid w:val="0090486F"/>
    <w:rsid w:val="009052C1"/>
    <w:rsid w:val="0090663B"/>
    <w:rsid w:val="00907384"/>
    <w:rsid w:val="00910852"/>
    <w:rsid w:val="00910CF4"/>
    <w:rsid w:val="00911DB4"/>
    <w:rsid w:val="00914F8B"/>
    <w:rsid w:val="009151AC"/>
    <w:rsid w:val="00915626"/>
    <w:rsid w:val="0091614F"/>
    <w:rsid w:val="00920E11"/>
    <w:rsid w:val="00922412"/>
    <w:rsid w:val="00923287"/>
    <w:rsid w:val="00923F37"/>
    <w:rsid w:val="009241D8"/>
    <w:rsid w:val="009252A4"/>
    <w:rsid w:val="00925865"/>
    <w:rsid w:val="009259B0"/>
    <w:rsid w:val="00926AF3"/>
    <w:rsid w:val="00927506"/>
    <w:rsid w:val="00931FA8"/>
    <w:rsid w:val="00932FBF"/>
    <w:rsid w:val="009334C5"/>
    <w:rsid w:val="0093352B"/>
    <w:rsid w:val="00933C59"/>
    <w:rsid w:val="00933CA6"/>
    <w:rsid w:val="009349D5"/>
    <w:rsid w:val="00936190"/>
    <w:rsid w:val="00940549"/>
    <w:rsid w:val="00941BDA"/>
    <w:rsid w:val="00941CCE"/>
    <w:rsid w:val="00945260"/>
    <w:rsid w:val="00946E87"/>
    <w:rsid w:val="009471C8"/>
    <w:rsid w:val="0095018C"/>
    <w:rsid w:val="0095045A"/>
    <w:rsid w:val="00951282"/>
    <w:rsid w:val="00952486"/>
    <w:rsid w:val="009529E8"/>
    <w:rsid w:val="00952E7C"/>
    <w:rsid w:val="00954557"/>
    <w:rsid w:val="00955363"/>
    <w:rsid w:val="00955C93"/>
    <w:rsid w:val="00955DF6"/>
    <w:rsid w:val="00956411"/>
    <w:rsid w:val="00956D9D"/>
    <w:rsid w:val="00957895"/>
    <w:rsid w:val="009579D5"/>
    <w:rsid w:val="00957FC0"/>
    <w:rsid w:val="009605CA"/>
    <w:rsid w:val="009615AE"/>
    <w:rsid w:val="009640BA"/>
    <w:rsid w:val="00967F88"/>
    <w:rsid w:val="009703AC"/>
    <w:rsid w:val="009713BF"/>
    <w:rsid w:val="0097295A"/>
    <w:rsid w:val="00972C35"/>
    <w:rsid w:val="009743DC"/>
    <w:rsid w:val="009750CE"/>
    <w:rsid w:val="00976995"/>
    <w:rsid w:val="00977FCC"/>
    <w:rsid w:val="00980769"/>
    <w:rsid w:val="009814A1"/>
    <w:rsid w:val="00981603"/>
    <w:rsid w:val="00984E13"/>
    <w:rsid w:val="00985E3A"/>
    <w:rsid w:val="009907BF"/>
    <w:rsid w:val="00990903"/>
    <w:rsid w:val="0099092B"/>
    <w:rsid w:val="00991262"/>
    <w:rsid w:val="0099314E"/>
    <w:rsid w:val="00994D61"/>
    <w:rsid w:val="00994E34"/>
    <w:rsid w:val="009A0987"/>
    <w:rsid w:val="009A1611"/>
    <w:rsid w:val="009A170A"/>
    <w:rsid w:val="009A2081"/>
    <w:rsid w:val="009A33DB"/>
    <w:rsid w:val="009A6DCE"/>
    <w:rsid w:val="009A7413"/>
    <w:rsid w:val="009B11A3"/>
    <w:rsid w:val="009B1C1B"/>
    <w:rsid w:val="009B1E47"/>
    <w:rsid w:val="009B266B"/>
    <w:rsid w:val="009B3333"/>
    <w:rsid w:val="009B3CF6"/>
    <w:rsid w:val="009B44B3"/>
    <w:rsid w:val="009B4DFB"/>
    <w:rsid w:val="009B61EB"/>
    <w:rsid w:val="009B6447"/>
    <w:rsid w:val="009B64D9"/>
    <w:rsid w:val="009B6910"/>
    <w:rsid w:val="009C0FDA"/>
    <w:rsid w:val="009C157E"/>
    <w:rsid w:val="009C2637"/>
    <w:rsid w:val="009C320A"/>
    <w:rsid w:val="009C33BC"/>
    <w:rsid w:val="009C4AF0"/>
    <w:rsid w:val="009C6439"/>
    <w:rsid w:val="009C6B24"/>
    <w:rsid w:val="009C6F8E"/>
    <w:rsid w:val="009C6FCE"/>
    <w:rsid w:val="009D15A1"/>
    <w:rsid w:val="009D302C"/>
    <w:rsid w:val="009D3196"/>
    <w:rsid w:val="009D3226"/>
    <w:rsid w:val="009D6DA7"/>
    <w:rsid w:val="009D6E52"/>
    <w:rsid w:val="009E0286"/>
    <w:rsid w:val="009E0459"/>
    <w:rsid w:val="009E0E81"/>
    <w:rsid w:val="009E105F"/>
    <w:rsid w:val="009E1F15"/>
    <w:rsid w:val="009E254D"/>
    <w:rsid w:val="009E2C3C"/>
    <w:rsid w:val="009E5A6D"/>
    <w:rsid w:val="009E6025"/>
    <w:rsid w:val="009E693E"/>
    <w:rsid w:val="009F021A"/>
    <w:rsid w:val="009F0C9E"/>
    <w:rsid w:val="009F1B63"/>
    <w:rsid w:val="009F2103"/>
    <w:rsid w:val="009F32AF"/>
    <w:rsid w:val="009F4359"/>
    <w:rsid w:val="009F46FD"/>
    <w:rsid w:val="009F4B76"/>
    <w:rsid w:val="009F4C43"/>
    <w:rsid w:val="009F6180"/>
    <w:rsid w:val="009F7121"/>
    <w:rsid w:val="009F7397"/>
    <w:rsid w:val="00A01012"/>
    <w:rsid w:val="00A02334"/>
    <w:rsid w:val="00A025C3"/>
    <w:rsid w:val="00A04B09"/>
    <w:rsid w:val="00A052AB"/>
    <w:rsid w:val="00A105F8"/>
    <w:rsid w:val="00A10E93"/>
    <w:rsid w:val="00A1294A"/>
    <w:rsid w:val="00A1294C"/>
    <w:rsid w:val="00A13A6B"/>
    <w:rsid w:val="00A20032"/>
    <w:rsid w:val="00A2102D"/>
    <w:rsid w:val="00A21AAD"/>
    <w:rsid w:val="00A21FED"/>
    <w:rsid w:val="00A2278D"/>
    <w:rsid w:val="00A22813"/>
    <w:rsid w:val="00A22A88"/>
    <w:rsid w:val="00A2498A"/>
    <w:rsid w:val="00A27AB2"/>
    <w:rsid w:val="00A302C1"/>
    <w:rsid w:val="00A31D45"/>
    <w:rsid w:val="00A32632"/>
    <w:rsid w:val="00A337CF"/>
    <w:rsid w:val="00A33A7C"/>
    <w:rsid w:val="00A34FE4"/>
    <w:rsid w:val="00A3505D"/>
    <w:rsid w:val="00A351EF"/>
    <w:rsid w:val="00A35773"/>
    <w:rsid w:val="00A35BD1"/>
    <w:rsid w:val="00A35CBF"/>
    <w:rsid w:val="00A37EEC"/>
    <w:rsid w:val="00A40985"/>
    <w:rsid w:val="00A425CD"/>
    <w:rsid w:val="00A436F2"/>
    <w:rsid w:val="00A439F7"/>
    <w:rsid w:val="00A45B35"/>
    <w:rsid w:val="00A45C2B"/>
    <w:rsid w:val="00A4633A"/>
    <w:rsid w:val="00A467BA"/>
    <w:rsid w:val="00A470B3"/>
    <w:rsid w:val="00A515D4"/>
    <w:rsid w:val="00A51ACD"/>
    <w:rsid w:val="00A52A5D"/>
    <w:rsid w:val="00A53870"/>
    <w:rsid w:val="00A54B00"/>
    <w:rsid w:val="00A5584D"/>
    <w:rsid w:val="00A57813"/>
    <w:rsid w:val="00A64D1B"/>
    <w:rsid w:val="00A66D8D"/>
    <w:rsid w:val="00A6785D"/>
    <w:rsid w:val="00A703E9"/>
    <w:rsid w:val="00A70966"/>
    <w:rsid w:val="00A70AC3"/>
    <w:rsid w:val="00A71596"/>
    <w:rsid w:val="00A71AB5"/>
    <w:rsid w:val="00A720DC"/>
    <w:rsid w:val="00A729F7"/>
    <w:rsid w:val="00A73512"/>
    <w:rsid w:val="00A74715"/>
    <w:rsid w:val="00A7576F"/>
    <w:rsid w:val="00A763F7"/>
    <w:rsid w:val="00A7645A"/>
    <w:rsid w:val="00A76C56"/>
    <w:rsid w:val="00A76FE8"/>
    <w:rsid w:val="00A77577"/>
    <w:rsid w:val="00A820A6"/>
    <w:rsid w:val="00A84343"/>
    <w:rsid w:val="00A873C9"/>
    <w:rsid w:val="00A90962"/>
    <w:rsid w:val="00A90CAA"/>
    <w:rsid w:val="00A91397"/>
    <w:rsid w:val="00A93223"/>
    <w:rsid w:val="00A93340"/>
    <w:rsid w:val="00A93C68"/>
    <w:rsid w:val="00A976ED"/>
    <w:rsid w:val="00AA25AB"/>
    <w:rsid w:val="00AA77DB"/>
    <w:rsid w:val="00AB3203"/>
    <w:rsid w:val="00AB38A8"/>
    <w:rsid w:val="00AB3F30"/>
    <w:rsid w:val="00AB5007"/>
    <w:rsid w:val="00AB6ABF"/>
    <w:rsid w:val="00AC167F"/>
    <w:rsid w:val="00AC4BAC"/>
    <w:rsid w:val="00AC55E6"/>
    <w:rsid w:val="00AC659E"/>
    <w:rsid w:val="00AC7036"/>
    <w:rsid w:val="00AC7DD3"/>
    <w:rsid w:val="00AD2881"/>
    <w:rsid w:val="00AD4F29"/>
    <w:rsid w:val="00AD6E04"/>
    <w:rsid w:val="00AD7008"/>
    <w:rsid w:val="00AD7D40"/>
    <w:rsid w:val="00AE08BF"/>
    <w:rsid w:val="00AE0D66"/>
    <w:rsid w:val="00AE2550"/>
    <w:rsid w:val="00AE2928"/>
    <w:rsid w:val="00AE3FC9"/>
    <w:rsid w:val="00AE4B0F"/>
    <w:rsid w:val="00AE4FA0"/>
    <w:rsid w:val="00AE56DC"/>
    <w:rsid w:val="00AE61C2"/>
    <w:rsid w:val="00AE680F"/>
    <w:rsid w:val="00AE7D06"/>
    <w:rsid w:val="00AF1872"/>
    <w:rsid w:val="00AF1F71"/>
    <w:rsid w:val="00AF25F2"/>
    <w:rsid w:val="00AF2A5C"/>
    <w:rsid w:val="00AF34A5"/>
    <w:rsid w:val="00AF3C52"/>
    <w:rsid w:val="00AF4E25"/>
    <w:rsid w:val="00AF55FB"/>
    <w:rsid w:val="00AF577C"/>
    <w:rsid w:val="00AF59BD"/>
    <w:rsid w:val="00AF5F3A"/>
    <w:rsid w:val="00AF5FB5"/>
    <w:rsid w:val="00AF7FD7"/>
    <w:rsid w:val="00B0075A"/>
    <w:rsid w:val="00B0118A"/>
    <w:rsid w:val="00B013ED"/>
    <w:rsid w:val="00B021C7"/>
    <w:rsid w:val="00B02B4D"/>
    <w:rsid w:val="00B03101"/>
    <w:rsid w:val="00B05E43"/>
    <w:rsid w:val="00B06876"/>
    <w:rsid w:val="00B11303"/>
    <w:rsid w:val="00B11D1E"/>
    <w:rsid w:val="00B1218E"/>
    <w:rsid w:val="00B13CBB"/>
    <w:rsid w:val="00B1657F"/>
    <w:rsid w:val="00B206D9"/>
    <w:rsid w:val="00B20942"/>
    <w:rsid w:val="00B2136B"/>
    <w:rsid w:val="00B21923"/>
    <w:rsid w:val="00B21EB7"/>
    <w:rsid w:val="00B22346"/>
    <w:rsid w:val="00B226DA"/>
    <w:rsid w:val="00B22A1C"/>
    <w:rsid w:val="00B2300F"/>
    <w:rsid w:val="00B230DB"/>
    <w:rsid w:val="00B238D6"/>
    <w:rsid w:val="00B25B8C"/>
    <w:rsid w:val="00B306A6"/>
    <w:rsid w:val="00B315C7"/>
    <w:rsid w:val="00B31AB1"/>
    <w:rsid w:val="00B31C1E"/>
    <w:rsid w:val="00B320A1"/>
    <w:rsid w:val="00B32260"/>
    <w:rsid w:val="00B32328"/>
    <w:rsid w:val="00B336D6"/>
    <w:rsid w:val="00B33966"/>
    <w:rsid w:val="00B34263"/>
    <w:rsid w:val="00B35421"/>
    <w:rsid w:val="00B35DFC"/>
    <w:rsid w:val="00B3695D"/>
    <w:rsid w:val="00B36A8C"/>
    <w:rsid w:val="00B37384"/>
    <w:rsid w:val="00B37E98"/>
    <w:rsid w:val="00B400C9"/>
    <w:rsid w:val="00B40707"/>
    <w:rsid w:val="00B407D6"/>
    <w:rsid w:val="00B411B0"/>
    <w:rsid w:val="00B41313"/>
    <w:rsid w:val="00B41393"/>
    <w:rsid w:val="00B43402"/>
    <w:rsid w:val="00B43A4A"/>
    <w:rsid w:val="00B44BEC"/>
    <w:rsid w:val="00B4581F"/>
    <w:rsid w:val="00B46D4C"/>
    <w:rsid w:val="00B46E60"/>
    <w:rsid w:val="00B473BC"/>
    <w:rsid w:val="00B52382"/>
    <w:rsid w:val="00B52B34"/>
    <w:rsid w:val="00B545F2"/>
    <w:rsid w:val="00B55752"/>
    <w:rsid w:val="00B6026C"/>
    <w:rsid w:val="00B6035F"/>
    <w:rsid w:val="00B61166"/>
    <w:rsid w:val="00B617C2"/>
    <w:rsid w:val="00B61DE1"/>
    <w:rsid w:val="00B627D5"/>
    <w:rsid w:val="00B66A4A"/>
    <w:rsid w:val="00B66E23"/>
    <w:rsid w:val="00B67851"/>
    <w:rsid w:val="00B715EA"/>
    <w:rsid w:val="00B71FE1"/>
    <w:rsid w:val="00B74B88"/>
    <w:rsid w:val="00B75888"/>
    <w:rsid w:val="00B75F7B"/>
    <w:rsid w:val="00B76C38"/>
    <w:rsid w:val="00B82988"/>
    <w:rsid w:val="00B82E97"/>
    <w:rsid w:val="00B83866"/>
    <w:rsid w:val="00B83B95"/>
    <w:rsid w:val="00B83B99"/>
    <w:rsid w:val="00B8489B"/>
    <w:rsid w:val="00B85A90"/>
    <w:rsid w:val="00B900A7"/>
    <w:rsid w:val="00B909B3"/>
    <w:rsid w:val="00B9164C"/>
    <w:rsid w:val="00B919B8"/>
    <w:rsid w:val="00B94762"/>
    <w:rsid w:val="00B95007"/>
    <w:rsid w:val="00BA0884"/>
    <w:rsid w:val="00BA0ADA"/>
    <w:rsid w:val="00BA0E7A"/>
    <w:rsid w:val="00BA1626"/>
    <w:rsid w:val="00BA1C67"/>
    <w:rsid w:val="00BA2C06"/>
    <w:rsid w:val="00BA3880"/>
    <w:rsid w:val="00BA4043"/>
    <w:rsid w:val="00BA4369"/>
    <w:rsid w:val="00BA4803"/>
    <w:rsid w:val="00BA5A0D"/>
    <w:rsid w:val="00BA6E38"/>
    <w:rsid w:val="00BA73DA"/>
    <w:rsid w:val="00BB03B4"/>
    <w:rsid w:val="00BB1BDF"/>
    <w:rsid w:val="00BB271B"/>
    <w:rsid w:val="00BB48AF"/>
    <w:rsid w:val="00BB4A29"/>
    <w:rsid w:val="00BB50AA"/>
    <w:rsid w:val="00BB60F6"/>
    <w:rsid w:val="00BB7D96"/>
    <w:rsid w:val="00BC0464"/>
    <w:rsid w:val="00BC073A"/>
    <w:rsid w:val="00BC0A6E"/>
    <w:rsid w:val="00BC0FD4"/>
    <w:rsid w:val="00BC1732"/>
    <w:rsid w:val="00BC22F9"/>
    <w:rsid w:val="00BC4EDC"/>
    <w:rsid w:val="00BC6055"/>
    <w:rsid w:val="00BC7E4F"/>
    <w:rsid w:val="00BC7E5A"/>
    <w:rsid w:val="00BD0733"/>
    <w:rsid w:val="00BD102A"/>
    <w:rsid w:val="00BD13E1"/>
    <w:rsid w:val="00BD34A7"/>
    <w:rsid w:val="00BD371C"/>
    <w:rsid w:val="00BD3BCD"/>
    <w:rsid w:val="00BD4284"/>
    <w:rsid w:val="00BD42F8"/>
    <w:rsid w:val="00BD458B"/>
    <w:rsid w:val="00BD4F0C"/>
    <w:rsid w:val="00BE2B08"/>
    <w:rsid w:val="00BE2C5C"/>
    <w:rsid w:val="00BE3128"/>
    <w:rsid w:val="00BE5FC2"/>
    <w:rsid w:val="00BF0944"/>
    <w:rsid w:val="00BF0FA1"/>
    <w:rsid w:val="00BF1BF9"/>
    <w:rsid w:val="00BF1CA3"/>
    <w:rsid w:val="00BF28AE"/>
    <w:rsid w:val="00BF2FA4"/>
    <w:rsid w:val="00BF33AA"/>
    <w:rsid w:val="00BF3CD3"/>
    <w:rsid w:val="00BF41C4"/>
    <w:rsid w:val="00BF4CFD"/>
    <w:rsid w:val="00BF5EBB"/>
    <w:rsid w:val="00BF5EC4"/>
    <w:rsid w:val="00BF67FA"/>
    <w:rsid w:val="00BF6B16"/>
    <w:rsid w:val="00C01455"/>
    <w:rsid w:val="00C01A66"/>
    <w:rsid w:val="00C01AAF"/>
    <w:rsid w:val="00C026D6"/>
    <w:rsid w:val="00C03DFD"/>
    <w:rsid w:val="00C03E32"/>
    <w:rsid w:val="00C04641"/>
    <w:rsid w:val="00C064FA"/>
    <w:rsid w:val="00C0770F"/>
    <w:rsid w:val="00C079E9"/>
    <w:rsid w:val="00C11078"/>
    <w:rsid w:val="00C134DF"/>
    <w:rsid w:val="00C14C95"/>
    <w:rsid w:val="00C16817"/>
    <w:rsid w:val="00C20427"/>
    <w:rsid w:val="00C20650"/>
    <w:rsid w:val="00C20E13"/>
    <w:rsid w:val="00C21F47"/>
    <w:rsid w:val="00C2206E"/>
    <w:rsid w:val="00C2250E"/>
    <w:rsid w:val="00C234D7"/>
    <w:rsid w:val="00C23928"/>
    <w:rsid w:val="00C23BC7"/>
    <w:rsid w:val="00C23F29"/>
    <w:rsid w:val="00C26AA9"/>
    <w:rsid w:val="00C31653"/>
    <w:rsid w:val="00C32C89"/>
    <w:rsid w:val="00C353CF"/>
    <w:rsid w:val="00C356B7"/>
    <w:rsid w:val="00C366C0"/>
    <w:rsid w:val="00C367CC"/>
    <w:rsid w:val="00C3794A"/>
    <w:rsid w:val="00C3794E"/>
    <w:rsid w:val="00C37EC0"/>
    <w:rsid w:val="00C4059A"/>
    <w:rsid w:val="00C42585"/>
    <w:rsid w:val="00C42CEB"/>
    <w:rsid w:val="00C43EE7"/>
    <w:rsid w:val="00C444F2"/>
    <w:rsid w:val="00C45553"/>
    <w:rsid w:val="00C46D99"/>
    <w:rsid w:val="00C47567"/>
    <w:rsid w:val="00C5014C"/>
    <w:rsid w:val="00C50EB0"/>
    <w:rsid w:val="00C51ABD"/>
    <w:rsid w:val="00C528D3"/>
    <w:rsid w:val="00C5424E"/>
    <w:rsid w:val="00C542FC"/>
    <w:rsid w:val="00C54BE1"/>
    <w:rsid w:val="00C54D44"/>
    <w:rsid w:val="00C55281"/>
    <w:rsid w:val="00C55BAB"/>
    <w:rsid w:val="00C60178"/>
    <w:rsid w:val="00C61C7C"/>
    <w:rsid w:val="00C64124"/>
    <w:rsid w:val="00C67A7C"/>
    <w:rsid w:val="00C70611"/>
    <w:rsid w:val="00C70DA4"/>
    <w:rsid w:val="00C70FDD"/>
    <w:rsid w:val="00C72CE9"/>
    <w:rsid w:val="00C72D61"/>
    <w:rsid w:val="00C74F98"/>
    <w:rsid w:val="00C75B80"/>
    <w:rsid w:val="00C80667"/>
    <w:rsid w:val="00C81B8F"/>
    <w:rsid w:val="00C8216A"/>
    <w:rsid w:val="00C82C42"/>
    <w:rsid w:val="00C82DC6"/>
    <w:rsid w:val="00C85060"/>
    <w:rsid w:val="00C85D85"/>
    <w:rsid w:val="00C9099E"/>
    <w:rsid w:val="00C917F2"/>
    <w:rsid w:val="00C925E0"/>
    <w:rsid w:val="00C94C3D"/>
    <w:rsid w:val="00C955B7"/>
    <w:rsid w:val="00C963EF"/>
    <w:rsid w:val="00C96A8C"/>
    <w:rsid w:val="00C978EE"/>
    <w:rsid w:val="00C97FE9"/>
    <w:rsid w:val="00CA2446"/>
    <w:rsid w:val="00CA2F79"/>
    <w:rsid w:val="00CA5568"/>
    <w:rsid w:val="00CA637B"/>
    <w:rsid w:val="00CB0280"/>
    <w:rsid w:val="00CB25A7"/>
    <w:rsid w:val="00CB33C9"/>
    <w:rsid w:val="00CB354F"/>
    <w:rsid w:val="00CB3CA0"/>
    <w:rsid w:val="00CB4FEA"/>
    <w:rsid w:val="00CB55DB"/>
    <w:rsid w:val="00CB6301"/>
    <w:rsid w:val="00CB6322"/>
    <w:rsid w:val="00CB69D1"/>
    <w:rsid w:val="00CC20ED"/>
    <w:rsid w:val="00CC321B"/>
    <w:rsid w:val="00CC4626"/>
    <w:rsid w:val="00CD106E"/>
    <w:rsid w:val="00CD1C46"/>
    <w:rsid w:val="00CD2D8C"/>
    <w:rsid w:val="00CD4AE2"/>
    <w:rsid w:val="00CD669F"/>
    <w:rsid w:val="00CE0212"/>
    <w:rsid w:val="00CE258E"/>
    <w:rsid w:val="00CE3038"/>
    <w:rsid w:val="00CE3098"/>
    <w:rsid w:val="00CE44EB"/>
    <w:rsid w:val="00CE47FA"/>
    <w:rsid w:val="00CE5A17"/>
    <w:rsid w:val="00CE5DE3"/>
    <w:rsid w:val="00CE5EF9"/>
    <w:rsid w:val="00CE6F44"/>
    <w:rsid w:val="00CE77F6"/>
    <w:rsid w:val="00CE7810"/>
    <w:rsid w:val="00CF07FA"/>
    <w:rsid w:val="00CF0A8F"/>
    <w:rsid w:val="00CF14C4"/>
    <w:rsid w:val="00CF1F2F"/>
    <w:rsid w:val="00CF2D15"/>
    <w:rsid w:val="00CF3EC8"/>
    <w:rsid w:val="00CF4051"/>
    <w:rsid w:val="00CF50FD"/>
    <w:rsid w:val="00CF66C4"/>
    <w:rsid w:val="00CF6800"/>
    <w:rsid w:val="00CF686E"/>
    <w:rsid w:val="00CF6E28"/>
    <w:rsid w:val="00CF7F0D"/>
    <w:rsid w:val="00D00336"/>
    <w:rsid w:val="00D00686"/>
    <w:rsid w:val="00D00838"/>
    <w:rsid w:val="00D02213"/>
    <w:rsid w:val="00D04063"/>
    <w:rsid w:val="00D040FE"/>
    <w:rsid w:val="00D04B97"/>
    <w:rsid w:val="00D04DBE"/>
    <w:rsid w:val="00D06584"/>
    <w:rsid w:val="00D07446"/>
    <w:rsid w:val="00D07847"/>
    <w:rsid w:val="00D07B7D"/>
    <w:rsid w:val="00D07BA8"/>
    <w:rsid w:val="00D07C06"/>
    <w:rsid w:val="00D10471"/>
    <w:rsid w:val="00D1154B"/>
    <w:rsid w:val="00D11ACA"/>
    <w:rsid w:val="00D13136"/>
    <w:rsid w:val="00D1629C"/>
    <w:rsid w:val="00D166EF"/>
    <w:rsid w:val="00D1675C"/>
    <w:rsid w:val="00D20F28"/>
    <w:rsid w:val="00D2220C"/>
    <w:rsid w:val="00D22907"/>
    <w:rsid w:val="00D23A35"/>
    <w:rsid w:val="00D24344"/>
    <w:rsid w:val="00D2591D"/>
    <w:rsid w:val="00D25DF4"/>
    <w:rsid w:val="00D332BD"/>
    <w:rsid w:val="00D40C8A"/>
    <w:rsid w:val="00D412D0"/>
    <w:rsid w:val="00D41360"/>
    <w:rsid w:val="00D42616"/>
    <w:rsid w:val="00D43557"/>
    <w:rsid w:val="00D44BC8"/>
    <w:rsid w:val="00D45653"/>
    <w:rsid w:val="00D45F25"/>
    <w:rsid w:val="00D47310"/>
    <w:rsid w:val="00D476BB"/>
    <w:rsid w:val="00D50CAC"/>
    <w:rsid w:val="00D52D02"/>
    <w:rsid w:val="00D60971"/>
    <w:rsid w:val="00D60F25"/>
    <w:rsid w:val="00D6145F"/>
    <w:rsid w:val="00D62677"/>
    <w:rsid w:val="00D6271A"/>
    <w:rsid w:val="00D631CB"/>
    <w:rsid w:val="00D634A1"/>
    <w:rsid w:val="00D64D4D"/>
    <w:rsid w:val="00D658DC"/>
    <w:rsid w:val="00D67AA8"/>
    <w:rsid w:val="00D67ADF"/>
    <w:rsid w:val="00D67B40"/>
    <w:rsid w:val="00D70031"/>
    <w:rsid w:val="00D709BD"/>
    <w:rsid w:val="00D71A00"/>
    <w:rsid w:val="00D72277"/>
    <w:rsid w:val="00D7694E"/>
    <w:rsid w:val="00D76DAC"/>
    <w:rsid w:val="00D77CA8"/>
    <w:rsid w:val="00D81540"/>
    <w:rsid w:val="00D8225D"/>
    <w:rsid w:val="00D82A60"/>
    <w:rsid w:val="00D83CEF"/>
    <w:rsid w:val="00D858DE"/>
    <w:rsid w:val="00D85E67"/>
    <w:rsid w:val="00D86330"/>
    <w:rsid w:val="00D910E5"/>
    <w:rsid w:val="00D91C19"/>
    <w:rsid w:val="00D91DD6"/>
    <w:rsid w:val="00D92FF4"/>
    <w:rsid w:val="00D9335B"/>
    <w:rsid w:val="00D946DD"/>
    <w:rsid w:val="00D953FC"/>
    <w:rsid w:val="00D96232"/>
    <w:rsid w:val="00D96D50"/>
    <w:rsid w:val="00D96DF0"/>
    <w:rsid w:val="00D96FC3"/>
    <w:rsid w:val="00D97A9C"/>
    <w:rsid w:val="00DA007D"/>
    <w:rsid w:val="00DA1052"/>
    <w:rsid w:val="00DA1AAA"/>
    <w:rsid w:val="00DA1ECD"/>
    <w:rsid w:val="00DA2145"/>
    <w:rsid w:val="00DA27DE"/>
    <w:rsid w:val="00DA2DE1"/>
    <w:rsid w:val="00DA383C"/>
    <w:rsid w:val="00DA3BFB"/>
    <w:rsid w:val="00DA4C1B"/>
    <w:rsid w:val="00DA51FB"/>
    <w:rsid w:val="00DA559A"/>
    <w:rsid w:val="00DA5D64"/>
    <w:rsid w:val="00DA6103"/>
    <w:rsid w:val="00DA7372"/>
    <w:rsid w:val="00DB5C3F"/>
    <w:rsid w:val="00DB7E14"/>
    <w:rsid w:val="00DC0344"/>
    <w:rsid w:val="00DC0D14"/>
    <w:rsid w:val="00DC1528"/>
    <w:rsid w:val="00DC5AF8"/>
    <w:rsid w:val="00DC6FD9"/>
    <w:rsid w:val="00DD18DC"/>
    <w:rsid w:val="00DD1B6D"/>
    <w:rsid w:val="00DD20F5"/>
    <w:rsid w:val="00DD2328"/>
    <w:rsid w:val="00DD2E76"/>
    <w:rsid w:val="00DD31B6"/>
    <w:rsid w:val="00DD3E05"/>
    <w:rsid w:val="00DE017E"/>
    <w:rsid w:val="00DE2355"/>
    <w:rsid w:val="00DE2C07"/>
    <w:rsid w:val="00DE35CF"/>
    <w:rsid w:val="00DE3BB2"/>
    <w:rsid w:val="00DE40B2"/>
    <w:rsid w:val="00DE4471"/>
    <w:rsid w:val="00DE498F"/>
    <w:rsid w:val="00DE4B65"/>
    <w:rsid w:val="00DE53EC"/>
    <w:rsid w:val="00DE762B"/>
    <w:rsid w:val="00DF018E"/>
    <w:rsid w:val="00DF1677"/>
    <w:rsid w:val="00DF1AB4"/>
    <w:rsid w:val="00DF283E"/>
    <w:rsid w:val="00DF2EA1"/>
    <w:rsid w:val="00DF2F36"/>
    <w:rsid w:val="00DF310D"/>
    <w:rsid w:val="00E008E0"/>
    <w:rsid w:val="00E01452"/>
    <w:rsid w:val="00E0185E"/>
    <w:rsid w:val="00E023FE"/>
    <w:rsid w:val="00E02A1C"/>
    <w:rsid w:val="00E02A80"/>
    <w:rsid w:val="00E03A19"/>
    <w:rsid w:val="00E03AAF"/>
    <w:rsid w:val="00E03FAC"/>
    <w:rsid w:val="00E046E4"/>
    <w:rsid w:val="00E04D8A"/>
    <w:rsid w:val="00E1137C"/>
    <w:rsid w:val="00E11550"/>
    <w:rsid w:val="00E11682"/>
    <w:rsid w:val="00E12E29"/>
    <w:rsid w:val="00E161CD"/>
    <w:rsid w:val="00E167ED"/>
    <w:rsid w:val="00E16A97"/>
    <w:rsid w:val="00E20771"/>
    <w:rsid w:val="00E231FF"/>
    <w:rsid w:val="00E259CA"/>
    <w:rsid w:val="00E26C35"/>
    <w:rsid w:val="00E26CA7"/>
    <w:rsid w:val="00E27572"/>
    <w:rsid w:val="00E278DD"/>
    <w:rsid w:val="00E30BD5"/>
    <w:rsid w:val="00E31F48"/>
    <w:rsid w:val="00E3275F"/>
    <w:rsid w:val="00E35078"/>
    <w:rsid w:val="00E40C1A"/>
    <w:rsid w:val="00E4119C"/>
    <w:rsid w:val="00E41D90"/>
    <w:rsid w:val="00E41DBD"/>
    <w:rsid w:val="00E42A6B"/>
    <w:rsid w:val="00E435DE"/>
    <w:rsid w:val="00E448D5"/>
    <w:rsid w:val="00E45C2F"/>
    <w:rsid w:val="00E476A2"/>
    <w:rsid w:val="00E47DCD"/>
    <w:rsid w:val="00E523ED"/>
    <w:rsid w:val="00E53B43"/>
    <w:rsid w:val="00E53F55"/>
    <w:rsid w:val="00E546A3"/>
    <w:rsid w:val="00E56C6A"/>
    <w:rsid w:val="00E56FE8"/>
    <w:rsid w:val="00E60999"/>
    <w:rsid w:val="00E6252E"/>
    <w:rsid w:val="00E6334E"/>
    <w:rsid w:val="00E641E1"/>
    <w:rsid w:val="00E65097"/>
    <w:rsid w:val="00E66087"/>
    <w:rsid w:val="00E66D3F"/>
    <w:rsid w:val="00E6767C"/>
    <w:rsid w:val="00E7074C"/>
    <w:rsid w:val="00E71875"/>
    <w:rsid w:val="00E72996"/>
    <w:rsid w:val="00E72EBE"/>
    <w:rsid w:val="00E750C0"/>
    <w:rsid w:val="00E75805"/>
    <w:rsid w:val="00E76196"/>
    <w:rsid w:val="00E777B2"/>
    <w:rsid w:val="00E8036F"/>
    <w:rsid w:val="00E812A1"/>
    <w:rsid w:val="00E818E4"/>
    <w:rsid w:val="00E828A1"/>
    <w:rsid w:val="00E85EF1"/>
    <w:rsid w:val="00E87B6D"/>
    <w:rsid w:val="00E90FCB"/>
    <w:rsid w:val="00E91538"/>
    <w:rsid w:val="00E916BE"/>
    <w:rsid w:val="00E94DBB"/>
    <w:rsid w:val="00E95E82"/>
    <w:rsid w:val="00E96B98"/>
    <w:rsid w:val="00E97D0E"/>
    <w:rsid w:val="00EA0C0E"/>
    <w:rsid w:val="00EA1457"/>
    <w:rsid w:val="00EA2FB6"/>
    <w:rsid w:val="00EA4E96"/>
    <w:rsid w:val="00EA60AE"/>
    <w:rsid w:val="00EA63FD"/>
    <w:rsid w:val="00EA6B5B"/>
    <w:rsid w:val="00EA6BB3"/>
    <w:rsid w:val="00EA7112"/>
    <w:rsid w:val="00EA71BC"/>
    <w:rsid w:val="00EA7963"/>
    <w:rsid w:val="00EA7E32"/>
    <w:rsid w:val="00EB2CF8"/>
    <w:rsid w:val="00EB3580"/>
    <w:rsid w:val="00EB4C27"/>
    <w:rsid w:val="00EB4EDF"/>
    <w:rsid w:val="00EB6664"/>
    <w:rsid w:val="00EB698D"/>
    <w:rsid w:val="00EB7604"/>
    <w:rsid w:val="00EC24F9"/>
    <w:rsid w:val="00EC335C"/>
    <w:rsid w:val="00EC7187"/>
    <w:rsid w:val="00EC75CC"/>
    <w:rsid w:val="00EC7B84"/>
    <w:rsid w:val="00ED25A3"/>
    <w:rsid w:val="00ED4AF3"/>
    <w:rsid w:val="00ED5F9D"/>
    <w:rsid w:val="00ED7CE6"/>
    <w:rsid w:val="00EE100E"/>
    <w:rsid w:val="00EE23EB"/>
    <w:rsid w:val="00EE317C"/>
    <w:rsid w:val="00EE3831"/>
    <w:rsid w:val="00EE3931"/>
    <w:rsid w:val="00EE5CBE"/>
    <w:rsid w:val="00EE6135"/>
    <w:rsid w:val="00EE6B1D"/>
    <w:rsid w:val="00EE7227"/>
    <w:rsid w:val="00EE7277"/>
    <w:rsid w:val="00EE792C"/>
    <w:rsid w:val="00EF00E7"/>
    <w:rsid w:val="00EF0DE2"/>
    <w:rsid w:val="00EF27AA"/>
    <w:rsid w:val="00EF2F60"/>
    <w:rsid w:val="00EF4684"/>
    <w:rsid w:val="00EF4D66"/>
    <w:rsid w:val="00EF5384"/>
    <w:rsid w:val="00EF56C5"/>
    <w:rsid w:val="00EF6DB0"/>
    <w:rsid w:val="00F02EB6"/>
    <w:rsid w:val="00F038E0"/>
    <w:rsid w:val="00F03917"/>
    <w:rsid w:val="00F04BB0"/>
    <w:rsid w:val="00F13EC4"/>
    <w:rsid w:val="00F14111"/>
    <w:rsid w:val="00F16966"/>
    <w:rsid w:val="00F20574"/>
    <w:rsid w:val="00F2200F"/>
    <w:rsid w:val="00F2295E"/>
    <w:rsid w:val="00F24B91"/>
    <w:rsid w:val="00F25234"/>
    <w:rsid w:val="00F2586B"/>
    <w:rsid w:val="00F25D0F"/>
    <w:rsid w:val="00F26506"/>
    <w:rsid w:val="00F26E80"/>
    <w:rsid w:val="00F317C9"/>
    <w:rsid w:val="00F34104"/>
    <w:rsid w:val="00F35BBA"/>
    <w:rsid w:val="00F36972"/>
    <w:rsid w:val="00F40537"/>
    <w:rsid w:val="00F408D3"/>
    <w:rsid w:val="00F41264"/>
    <w:rsid w:val="00F4199B"/>
    <w:rsid w:val="00F4243A"/>
    <w:rsid w:val="00F431B7"/>
    <w:rsid w:val="00F4356A"/>
    <w:rsid w:val="00F43C3D"/>
    <w:rsid w:val="00F47658"/>
    <w:rsid w:val="00F477C3"/>
    <w:rsid w:val="00F47999"/>
    <w:rsid w:val="00F51395"/>
    <w:rsid w:val="00F546A0"/>
    <w:rsid w:val="00F54A6E"/>
    <w:rsid w:val="00F57662"/>
    <w:rsid w:val="00F57BF8"/>
    <w:rsid w:val="00F57F11"/>
    <w:rsid w:val="00F60459"/>
    <w:rsid w:val="00F60969"/>
    <w:rsid w:val="00F630C8"/>
    <w:rsid w:val="00F64835"/>
    <w:rsid w:val="00F64DE0"/>
    <w:rsid w:val="00F65970"/>
    <w:rsid w:val="00F7151C"/>
    <w:rsid w:val="00F73E3F"/>
    <w:rsid w:val="00F74F02"/>
    <w:rsid w:val="00F75A2A"/>
    <w:rsid w:val="00F7623D"/>
    <w:rsid w:val="00F76DCC"/>
    <w:rsid w:val="00F77A4E"/>
    <w:rsid w:val="00F80B41"/>
    <w:rsid w:val="00F80FA9"/>
    <w:rsid w:val="00F82AF2"/>
    <w:rsid w:val="00F84F90"/>
    <w:rsid w:val="00F85AA6"/>
    <w:rsid w:val="00F85ECC"/>
    <w:rsid w:val="00F86277"/>
    <w:rsid w:val="00F867C8"/>
    <w:rsid w:val="00F877AA"/>
    <w:rsid w:val="00F91B9E"/>
    <w:rsid w:val="00F91C9D"/>
    <w:rsid w:val="00F91CF0"/>
    <w:rsid w:val="00F943D2"/>
    <w:rsid w:val="00F944EA"/>
    <w:rsid w:val="00F947B5"/>
    <w:rsid w:val="00F95E10"/>
    <w:rsid w:val="00F960AE"/>
    <w:rsid w:val="00F96A77"/>
    <w:rsid w:val="00F9762B"/>
    <w:rsid w:val="00F97AD2"/>
    <w:rsid w:val="00F97DA3"/>
    <w:rsid w:val="00F97F9C"/>
    <w:rsid w:val="00FA0650"/>
    <w:rsid w:val="00FA0752"/>
    <w:rsid w:val="00FA081F"/>
    <w:rsid w:val="00FA0886"/>
    <w:rsid w:val="00FA0E92"/>
    <w:rsid w:val="00FA1021"/>
    <w:rsid w:val="00FA21FA"/>
    <w:rsid w:val="00FA302D"/>
    <w:rsid w:val="00FA3B7C"/>
    <w:rsid w:val="00FA4C8D"/>
    <w:rsid w:val="00FA5981"/>
    <w:rsid w:val="00FA5B57"/>
    <w:rsid w:val="00FA6284"/>
    <w:rsid w:val="00FA6603"/>
    <w:rsid w:val="00FB01EE"/>
    <w:rsid w:val="00FB0F61"/>
    <w:rsid w:val="00FB126E"/>
    <w:rsid w:val="00FB1541"/>
    <w:rsid w:val="00FB2109"/>
    <w:rsid w:val="00FB2539"/>
    <w:rsid w:val="00FB4DD8"/>
    <w:rsid w:val="00FB6C81"/>
    <w:rsid w:val="00FB735B"/>
    <w:rsid w:val="00FC09B5"/>
    <w:rsid w:val="00FC105E"/>
    <w:rsid w:val="00FC4A77"/>
    <w:rsid w:val="00FC69D4"/>
    <w:rsid w:val="00FD19A6"/>
    <w:rsid w:val="00FD1C31"/>
    <w:rsid w:val="00FD29AE"/>
    <w:rsid w:val="00FD5483"/>
    <w:rsid w:val="00FD582D"/>
    <w:rsid w:val="00FD6E8B"/>
    <w:rsid w:val="00FD7328"/>
    <w:rsid w:val="00FD7720"/>
    <w:rsid w:val="00FE2722"/>
    <w:rsid w:val="00FE27C4"/>
    <w:rsid w:val="00FE2B6C"/>
    <w:rsid w:val="00FE36FD"/>
    <w:rsid w:val="00FE4999"/>
    <w:rsid w:val="00FE4C1E"/>
    <w:rsid w:val="00FE53C6"/>
    <w:rsid w:val="00FE5613"/>
    <w:rsid w:val="00FE5641"/>
    <w:rsid w:val="00FE6B64"/>
    <w:rsid w:val="00FF0832"/>
    <w:rsid w:val="00FF24B9"/>
    <w:rsid w:val="00FF50C6"/>
    <w:rsid w:val="00FF7259"/>
    <w:rsid w:val="00FF76D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4A17F"/>
  <w15:docId w15:val="{5B24A631-841E-4031-BA28-F7070BAFF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852"/>
    <w:pPr>
      <w:spacing w:after="160" w:line="259" w:lineRule="auto"/>
    </w:pPr>
    <w:rPr>
      <w:sz w:val="22"/>
      <w:szCs w:val="22"/>
      <w:lang w:val="es-ES" w:eastAsia="en-US"/>
    </w:rPr>
  </w:style>
  <w:style w:type="paragraph" w:styleId="Ttulo1">
    <w:name w:val="heading 1"/>
    <w:basedOn w:val="Normal"/>
    <w:next w:val="Normal"/>
    <w:link w:val="Ttulo1Car"/>
    <w:uiPriority w:val="9"/>
    <w:qFormat/>
    <w:rsid w:val="00910852"/>
    <w:pPr>
      <w:keepNext/>
      <w:keepLines/>
      <w:spacing w:before="240" w:after="0"/>
      <w:outlineLvl w:val="0"/>
    </w:pPr>
    <w:rPr>
      <w:rFonts w:ascii="Calibri Light" w:hAnsi="Calibri Light"/>
      <w:color w:val="2E74B5"/>
      <w:sz w:val="32"/>
      <w:szCs w:val="32"/>
    </w:rPr>
  </w:style>
  <w:style w:type="paragraph" w:styleId="Ttulo2">
    <w:name w:val="heading 2"/>
    <w:basedOn w:val="Normal"/>
    <w:next w:val="Normal"/>
    <w:link w:val="Ttulo2Car"/>
    <w:uiPriority w:val="9"/>
    <w:unhideWhenUsed/>
    <w:qFormat/>
    <w:rsid w:val="00910852"/>
    <w:pPr>
      <w:keepNext/>
      <w:keepLines/>
      <w:spacing w:before="40" w:after="0"/>
      <w:outlineLvl w:val="1"/>
    </w:pPr>
    <w:rPr>
      <w:rFonts w:ascii="Calibri Light" w:hAnsi="Calibri Light"/>
      <w:color w:val="2E74B5"/>
      <w:sz w:val="28"/>
      <w:szCs w:val="28"/>
    </w:rPr>
  </w:style>
  <w:style w:type="paragraph" w:styleId="Ttulo3">
    <w:name w:val="heading 3"/>
    <w:basedOn w:val="Normal"/>
    <w:next w:val="Normal"/>
    <w:link w:val="Ttulo3Car"/>
    <w:uiPriority w:val="9"/>
    <w:unhideWhenUsed/>
    <w:qFormat/>
    <w:rsid w:val="00910852"/>
    <w:pPr>
      <w:keepNext/>
      <w:keepLines/>
      <w:spacing w:before="40" w:after="0"/>
      <w:outlineLvl w:val="2"/>
    </w:pPr>
    <w:rPr>
      <w:rFonts w:ascii="Calibri Light" w:hAnsi="Calibri Light"/>
      <w:color w:val="1F4E79"/>
      <w:sz w:val="24"/>
      <w:szCs w:val="24"/>
    </w:rPr>
  </w:style>
  <w:style w:type="paragraph" w:styleId="Ttulo4">
    <w:name w:val="heading 4"/>
    <w:basedOn w:val="Normal"/>
    <w:next w:val="Normal"/>
    <w:link w:val="Ttulo4Car"/>
    <w:uiPriority w:val="9"/>
    <w:unhideWhenUsed/>
    <w:qFormat/>
    <w:rsid w:val="00910852"/>
    <w:pPr>
      <w:keepNext/>
      <w:keepLines/>
      <w:spacing w:before="40" w:after="0"/>
      <w:outlineLvl w:val="3"/>
    </w:pPr>
    <w:rPr>
      <w:rFonts w:ascii="Calibri Light" w:hAnsi="Calibri Light"/>
      <w:i/>
      <w:iCs/>
      <w:color w:val="2E74B5"/>
      <w:sz w:val="20"/>
      <w:szCs w:val="20"/>
    </w:rPr>
  </w:style>
  <w:style w:type="paragraph" w:styleId="Ttulo5">
    <w:name w:val="heading 5"/>
    <w:basedOn w:val="Normal"/>
    <w:next w:val="Normal"/>
    <w:link w:val="Ttulo5Car"/>
    <w:uiPriority w:val="9"/>
    <w:semiHidden/>
    <w:unhideWhenUsed/>
    <w:qFormat/>
    <w:rsid w:val="00910852"/>
    <w:pPr>
      <w:keepNext/>
      <w:keepLines/>
      <w:spacing w:before="40" w:after="0"/>
      <w:outlineLvl w:val="4"/>
    </w:pPr>
    <w:rPr>
      <w:rFonts w:ascii="Calibri Light" w:hAnsi="Calibri Light"/>
      <w:color w:val="2E74B5"/>
      <w:sz w:val="20"/>
      <w:szCs w:val="20"/>
    </w:rPr>
  </w:style>
  <w:style w:type="paragraph" w:styleId="Ttulo6">
    <w:name w:val="heading 6"/>
    <w:basedOn w:val="Normal"/>
    <w:next w:val="Normal"/>
    <w:link w:val="Ttulo6Car"/>
    <w:uiPriority w:val="9"/>
    <w:semiHidden/>
    <w:unhideWhenUsed/>
    <w:qFormat/>
    <w:rsid w:val="00910852"/>
    <w:pPr>
      <w:keepNext/>
      <w:keepLines/>
      <w:spacing w:before="40" w:after="0"/>
      <w:outlineLvl w:val="5"/>
    </w:pPr>
    <w:rPr>
      <w:rFonts w:ascii="Calibri Light" w:hAnsi="Calibri Light"/>
      <w:color w:val="1F4E79"/>
      <w:sz w:val="20"/>
      <w:szCs w:val="20"/>
    </w:rPr>
  </w:style>
  <w:style w:type="paragraph" w:styleId="Ttulo7">
    <w:name w:val="heading 7"/>
    <w:basedOn w:val="Normal"/>
    <w:next w:val="Normal"/>
    <w:link w:val="Ttulo7Car"/>
    <w:uiPriority w:val="9"/>
    <w:semiHidden/>
    <w:unhideWhenUsed/>
    <w:qFormat/>
    <w:rsid w:val="00910852"/>
    <w:pPr>
      <w:keepNext/>
      <w:keepLines/>
      <w:spacing w:before="40" w:after="0"/>
      <w:outlineLvl w:val="6"/>
    </w:pPr>
    <w:rPr>
      <w:rFonts w:ascii="Calibri Light" w:hAnsi="Calibri Light"/>
      <w:i/>
      <w:iCs/>
      <w:color w:val="1F4E79"/>
      <w:sz w:val="20"/>
      <w:szCs w:val="20"/>
    </w:rPr>
  </w:style>
  <w:style w:type="paragraph" w:styleId="Ttulo8">
    <w:name w:val="heading 8"/>
    <w:basedOn w:val="Normal"/>
    <w:next w:val="Normal"/>
    <w:link w:val="Ttulo8Car"/>
    <w:uiPriority w:val="9"/>
    <w:semiHidden/>
    <w:unhideWhenUsed/>
    <w:qFormat/>
    <w:rsid w:val="00910852"/>
    <w:pPr>
      <w:keepNext/>
      <w:keepLines/>
      <w:spacing w:before="40" w:after="0"/>
      <w:outlineLvl w:val="7"/>
    </w:pPr>
    <w:rPr>
      <w:rFonts w:ascii="Calibri Light" w:hAnsi="Calibri Light"/>
      <w:color w:val="262626"/>
      <w:sz w:val="21"/>
      <w:szCs w:val="21"/>
    </w:rPr>
  </w:style>
  <w:style w:type="paragraph" w:styleId="Ttulo9">
    <w:name w:val="heading 9"/>
    <w:basedOn w:val="Normal"/>
    <w:next w:val="Normal"/>
    <w:link w:val="Ttulo9Car"/>
    <w:uiPriority w:val="9"/>
    <w:semiHidden/>
    <w:unhideWhenUsed/>
    <w:qFormat/>
    <w:rsid w:val="00910852"/>
    <w:pPr>
      <w:keepNext/>
      <w:keepLines/>
      <w:spacing w:before="40" w:after="0"/>
      <w:outlineLvl w:val="8"/>
    </w:pPr>
    <w:rPr>
      <w:rFonts w:ascii="Calibri Light" w:hAnsi="Calibri Light"/>
      <w:i/>
      <w:iCs/>
      <w:color w:val="262626"/>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BF41C4"/>
    <w:pPr>
      <w:ind w:left="720"/>
      <w:contextualSpacing/>
    </w:pPr>
  </w:style>
  <w:style w:type="character" w:styleId="Refdecomentario">
    <w:name w:val="annotation reference"/>
    <w:uiPriority w:val="99"/>
    <w:semiHidden/>
    <w:unhideWhenUsed/>
    <w:rsid w:val="00BF41C4"/>
    <w:rPr>
      <w:sz w:val="16"/>
      <w:szCs w:val="16"/>
    </w:rPr>
  </w:style>
  <w:style w:type="paragraph" w:styleId="Textocomentario">
    <w:name w:val="annotation text"/>
    <w:basedOn w:val="Normal"/>
    <w:link w:val="TextocomentarioCar"/>
    <w:uiPriority w:val="99"/>
    <w:unhideWhenUsed/>
    <w:rsid w:val="00BF41C4"/>
    <w:pPr>
      <w:spacing w:line="240" w:lineRule="auto"/>
    </w:pPr>
    <w:rPr>
      <w:sz w:val="20"/>
      <w:szCs w:val="20"/>
    </w:rPr>
  </w:style>
  <w:style w:type="character" w:customStyle="1" w:styleId="TextocomentarioCar">
    <w:name w:val="Texto comentario Car"/>
    <w:link w:val="Textocomentario"/>
    <w:uiPriority w:val="99"/>
    <w:rsid w:val="00BF41C4"/>
    <w:rPr>
      <w:sz w:val="20"/>
      <w:szCs w:val="20"/>
    </w:rPr>
  </w:style>
  <w:style w:type="paragraph" w:styleId="Textodeglobo">
    <w:name w:val="Balloon Text"/>
    <w:basedOn w:val="Normal"/>
    <w:link w:val="TextodegloboCar"/>
    <w:uiPriority w:val="99"/>
    <w:semiHidden/>
    <w:unhideWhenUsed/>
    <w:rsid w:val="00BF41C4"/>
    <w:pPr>
      <w:spacing w:after="0" w:line="240" w:lineRule="auto"/>
    </w:pPr>
    <w:rPr>
      <w:rFonts w:ascii="Segoe UI" w:hAnsi="Segoe UI"/>
      <w:sz w:val="18"/>
      <w:szCs w:val="18"/>
    </w:rPr>
  </w:style>
  <w:style w:type="character" w:customStyle="1" w:styleId="TextodegloboCar">
    <w:name w:val="Texto de globo Car"/>
    <w:link w:val="Textodeglobo"/>
    <w:uiPriority w:val="99"/>
    <w:semiHidden/>
    <w:rsid w:val="00BF41C4"/>
    <w:rPr>
      <w:rFonts w:ascii="Segoe UI" w:hAnsi="Segoe UI" w:cs="Segoe UI"/>
      <w:sz w:val="18"/>
      <w:szCs w:val="18"/>
    </w:rPr>
  </w:style>
  <w:style w:type="character" w:customStyle="1" w:styleId="apple-converted-space">
    <w:name w:val="apple-converted-space"/>
    <w:basedOn w:val="Fuentedeprrafopredeter"/>
    <w:rsid w:val="000B595F"/>
  </w:style>
  <w:style w:type="paragraph" w:styleId="Textonotaalfinal">
    <w:name w:val="endnote text"/>
    <w:basedOn w:val="Normal"/>
    <w:link w:val="TextonotaalfinalCar"/>
    <w:uiPriority w:val="99"/>
    <w:unhideWhenUsed/>
    <w:rsid w:val="000B595F"/>
    <w:pPr>
      <w:spacing w:after="0" w:line="240" w:lineRule="auto"/>
      <w:jc w:val="both"/>
    </w:pPr>
    <w:rPr>
      <w:rFonts w:ascii="Arial" w:hAnsi="Arial"/>
      <w:sz w:val="20"/>
      <w:szCs w:val="20"/>
      <w:lang w:val="es-ES_tradnl" w:eastAsia="es-ES_tradnl"/>
    </w:rPr>
  </w:style>
  <w:style w:type="character" w:customStyle="1" w:styleId="TextonotaalfinalCar">
    <w:name w:val="Texto nota al final Car"/>
    <w:link w:val="Textonotaalfinal"/>
    <w:uiPriority w:val="99"/>
    <w:rsid w:val="000B595F"/>
    <w:rPr>
      <w:rFonts w:ascii="Arial" w:eastAsia="Times New Roman" w:hAnsi="Arial" w:cs="Arial"/>
      <w:sz w:val="20"/>
      <w:szCs w:val="20"/>
      <w:lang w:val="es-ES_tradnl" w:eastAsia="es-ES_tradnl"/>
    </w:rPr>
  </w:style>
  <w:style w:type="character" w:styleId="Refdenotaalfinal">
    <w:name w:val="endnote reference"/>
    <w:uiPriority w:val="99"/>
    <w:unhideWhenUsed/>
    <w:rsid w:val="000B595F"/>
    <w:rPr>
      <w:vertAlign w:val="superscript"/>
    </w:rPr>
  </w:style>
  <w:style w:type="character" w:styleId="nfasis">
    <w:name w:val="Emphasis"/>
    <w:uiPriority w:val="20"/>
    <w:qFormat/>
    <w:rsid w:val="00910852"/>
    <w:rPr>
      <w:i/>
      <w:iCs/>
      <w:color w:val="auto"/>
    </w:rPr>
  </w:style>
  <w:style w:type="character" w:customStyle="1" w:styleId="PrrafodelistaCar">
    <w:name w:val="Párrafo de lista Car"/>
    <w:link w:val="Prrafodelista"/>
    <w:uiPriority w:val="34"/>
    <w:locked/>
    <w:rsid w:val="000B595F"/>
  </w:style>
  <w:style w:type="character" w:styleId="Hipervnculo">
    <w:name w:val="Hyperlink"/>
    <w:uiPriority w:val="99"/>
    <w:rsid w:val="00544BD1"/>
    <w:rPr>
      <w:color w:val="0000FF"/>
      <w:u w:val="single"/>
    </w:rPr>
  </w:style>
  <w:style w:type="paragraph" w:styleId="Asuntodelcomentario">
    <w:name w:val="annotation subject"/>
    <w:basedOn w:val="Textocomentario"/>
    <w:next w:val="Textocomentario"/>
    <w:link w:val="AsuntodelcomentarioCar"/>
    <w:uiPriority w:val="99"/>
    <w:semiHidden/>
    <w:unhideWhenUsed/>
    <w:rsid w:val="004E7557"/>
    <w:rPr>
      <w:b/>
      <w:bCs/>
    </w:rPr>
  </w:style>
  <w:style w:type="character" w:customStyle="1" w:styleId="AsuntodelcomentarioCar">
    <w:name w:val="Asunto del comentario Car"/>
    <w:link w:val="Asuntodelcomentario"/>
    <w:uiPriority w:val="99"/>
    <w:semiHidden/>
    <w:rsid w:val="004E7557"/>
    <w:rPr>
      <w:b/>
      <w:bCs/>
      <w:sz w:val="20"/>
      <w:szCs w:val="20"/>
    </w:rPr>
  </w:style>
  <w:style w:type="character" w:customStyle="1" w:styleId="Ttulo2Car">
    <w:name w:val="Título 2 Car"/>
    <w:link w:val="Ttulo2"/>
    <w:uiPriority w:val="9"/>
    <w:rsid w:val="00910852"/>
    <w:rPr>
      <w:rFonts w:ascii="Calibri Light" w:eastAsia="Times New Roman" w:hAnsi="Calibri Light" w:cs="Times New Roman"/>
      <w:color w:val="2E74B5"/>
      <w:sz w:val="28"/>
      <w:szCs w:val="28"/>
    </w:rPr>
  </w:style>
  <w:style w:type="character" w:customStyle="1" w:styleId="mixed-citation">
    <w:name w:val="mixed-citation"/>
    <w:basedOn w:val="Fuentedeprrafopredeter"/>
    <w:rsid w:val="007E4E37"/>
  </w:style>
  <w:style w:type="character" w:customStyle="1" w:styleId="ref-title">
    <w:name w:val="ref-title"/>
    <w:basedOn w:val="Fuentedeprrafopredeter"/>
    <w:rsid w:val="007E4E37"/>
  </w:style>
  <w:style w:type="character" w:customStyle="1" w:styleId="ref-journal">
    <w:name w:val="ref-journal"/>
    <w:basedOn w:val="Fuentedeprrafopredeter"/>
    <w:rsid w:val="007E4E37"/>
  </w:style>
  <w:style w:type="character" w:customStyle="1" w:styleId="ref-vol">
    <w:name w:val="ref-vol"/>
    <w:basedOn w:val="Fuentedeprrafopredeter"/>
    <w:rsid w:val="007E4E37"/>
  </w:style>
  <w:style w:type="character" w:customStyle="1" w:styleId="ref-iss">
    <w:name w:val="ref-iss"/>
    <w:basedOn w:val="Fuentedeprrafopredeter"/>
    <w:rsid w:val="007E4E37"/>
  </w:style>
  <w:style w:type="paragraph" w:customStyle="1" w:styleId="gmail-msolistparagraph">
    <w:name w:val="gmail-msolistparagraph"/>
    <w:basedOn w:val="Normal"/>
    <w:rsid w:val="00721D3D"/>
    <w:pPr>
      <w:spacing w:before="100" w:beforeAutospacing="1" w:after="100" w:afterAutospacing="1" w:line="240" w:lineRule="auto"/>
      <w:jc w:val="both"/>
    </w:pPr>
    <w:rPr>
      <w:rFonts w:ascii="Times New Roman" w:hAnsi="Times New Roman"/>
      <w:sz w:val="24"/>
      <w:szCs w:val="24"/>
      <w:lang w:eastAsia="es-ES"/>
    </w:rPr>
  </w:style>
  <w:style w:type="paragraph" w:styleId="Textoindependiente">
    <w:name w:val="Body Text"/>
    <w:basedOn w:val="Normal"/>
    <w:link w:val="TextoindependienteCar"/>
    <w:rsid w:val="0028484F"/>
    <w:pPr>
      <w:spacing w:after="120" w:line="240" w:lineRule="auto"/>
    </w:pPr>
    <w:rPr>
      <w:rFonts w:ascii="Times New Roman" w:hAnsi="Times New Roman"/>
      <w:sz w:val="24"/>
      <w:szCs w:val="24"/>
      <w:lang w:val="en-US"/>
    </w:rPr>
  </w:style>
  <w:style w:type="character" w:customStyle="1" w:styleId="TextoindependienteCar">
    <w:name w:val="Texto independiente Car"/>
    <w:link w:val="Textoindependiente"/>
    <w:rsid w:val="0028484F"/>
    <w:rPr>
      <w:rFonts w:ascii="Times New Roman" w:eastAsia="Times New Roman" w:hAnsi="Times New Roman" w:cs="Times New Roman"/>
      <w:sz w:val="24"/>
      <w:szCs w:val="24"/>
      <w:lang w:val="en-US"/>
    </w:rPr>
  </w:style>
  <w:style w:type="paragraph" w:styleId="Textonotapie">
    <w:name w:val="footnote text"/>
    <w:basedOn w:val="Normal"/>
    <w:link w:val="TextonotapieCar"/>
    <w:uiPriority w:val="99"/>
    <w:unhideWhenUsed/>
    <w:rsid w:val="0028499D"/>
    <w:pPr>
      <w:spacing w:after="0" w:line="240" w:lineRule="auto"/>
    </w:pPr>
    <w:rPr>
      <w:sz w:val="24"/>
      <w:szCs w:val="24"/>
      <w:lang w:val="es-SV" w:eastAsia="es-ES"/>
    </w:rPr>
  </w:style>
  <w:style w:type="character" w:customStyle="1" w:styleId="TextonotapieCar">
    <w:name w:val="Texto nota pie Car"/>
    <w:link w:val="Textonotapie"/>
    <w:uiPriority w:val="99"/>
    <w:rsid w:val="0028499D"/>
    <w:rPr>
      <w:rFonts w:eastAsia="Times New Roman"/>
      <w:sz w:val="24"/>
      <w:szCs w:val="24"/>
      <w:lang w:val="es-SV" w:eastAsia="es-ES"/>
    </w:rPr>
  </w:style>
  <w:style w:type="character" w:styleId="Refdenotaalpie">
    <w:name w:val="footnote reference"/>
    <w:unhideWhenUsed/>
    <w:rsid w:val="0028499D"/>
    <w:rPr>
      <w:vertAlign w:val="superscript"/>
    </w:rPr>
  </w:style>
  <w:style w:type="paragraph" w:styleId="Textosinformato">
    <w:name w:val="Plain Text"/>
    <w:basedOn w:val="Normal"/>
    <w:link w:val="TextosinformatoCar"/>
    <w:uiPriority w:val="99"/>
    <w:unhideWhenUsed/>
    <w:rsid w:val="0028499D"/>
    <w:pPr>
      <w:spacing w:after="0" w:line="240" w:lineRule="auto"/>
    </w:pPr>
    <w:rPr>
      <w:sz w:val="20"/>
      <w:szCs w:val="21"/>
    </w:rPr>
  </w:style>
  <w:style w:type="character" w:customStyle="1" w:styleId="TextosinformatoCar">
    <w:name w:val="Texto sin formato Car"/>
    <w:link w:val="Textosinformato"/>
    <w:uiPriority w:val="99"/>
    <w:rsid w:val="0028499D"/>
    <w:rPr>
      <w:rFonts w:ascii="Calibri" w:hAnsi="Calibri" w:cs="Times New Roman"/>
      <w:szCs w:val="21"/>
    </w:rPr>
  </w:style>
  <w:style w:type="table" w:styleId="Tablaconcuadrcula">
    <w:name w:val="Table Grid"/>
    <w:basedOn w:val="Tablanormal"/>
    <w:uiPriority w:val="39"/>
    <w:rsid w:val="00477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
    <w:name w:val="Tabla de cuadrícula 4 - Énfasis 61"/>
    <w:basedOn w:val="Tablanormal"/>
    <w:uiPriority w:val="49"/>
    <w:rsid w:val="00C01455"/>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5oscura-nfasis61">
    <w:name w:val="Tabla de cuadrícula 5 oscura - Énfasis 61"/>
    <w:basedOn w:val="Tablanormal"/>
    <w:uiPriority w:val="50"/>
    <w:rsid w:val="0024092B"/>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decuadrcula1clara-nfasis61">
    <w:name w:val="Tabla de cuadrícula 1 clara - Énfasis 61"/>
    <w:basedOn w:val="Tablanormal"/>
    <w:uiPriority w:val="46"/>
    <w:rsid w:val="00A729F7"/>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2E1A78"/>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E1A78"/>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Cuadrculadetablaclara1">
    <w:name w:val="Cuadrícula de tabla clara1"/>
    <w:basedOn w:val="Tablanormal"/>
    <w:uiPriority w:val="40"/>
    <w:rsid w:val="002E1A7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Encabezado">
    <w:name w:val="header"/>
    <w:basedOn w:val="Normal"/>
    <w:link w:val="EncabezadoCar"/>
    <w:uiPriority w:val="99"/>
    <w:unhideWhenUsed/>
    <w:rsid w:val="00D96232"/>
    <w:pPr>
      <w:tabs>
        <w:tab w:val="center" w:pos="4252"/>
        <w:tab w:val="right" w:pos="8504"/>
      </w:tabs>
      <w:spacing w:after="0" w:line="240" w:lineRule="auto"/>
      <w:jc w:val="both"/>
    </w:pPr>
    <w:rPr>
      <w:rFonts w:ascii="Arial" w:hAnsi="Arial"/>
      <w:sz w:val="20"/>
      <w:szCs w:val="20"/>
      <w:lang w:val="es-ES_tradnl" w:eastAsia="es-ES_tradnl"/>
    </w:rPr>
  </w:style>
  <w:style w:type="character" w:customStyle="1" w:styleId="EncabezadoCar">
    <w:name w:val="Encabezado Car"/>
    <w:link w:val="Encabezado"/>
    <w:uiPriority w:val="99"/>
    <w:rsid w:val="00D96232"/>
    <w:rPr>
      <w:rFonts w:ascii="Arial" w:eastAsia="Times New Roman" w:hAnsi="Arial" w:cs="Arial"/>
      <w:sz w:val="20"/>
      <w:szCs w:val="20"/>
      <w:lang w:val="es-ES_tradnl" w:eastAsia="es-ES_tradnl"/>
    </w:rPr>
  </w:style>
  <w:style w:type="character" w:customStyle="1" w:styleId="Ttulo1Car">
    <w:name w:val="Título 1 Car"/>
    <w:link w:val="Ttulo1"/>
    <w:uiPriority w:val="9"/>
    <w:rsid w:val="00910852"/>
    <w:rPr>
      <w:rFonts w:ascii="Calibri Light" w:eastAsia="Times New Roman" w:hAnsi="Calibri Light" w:cs="Times New Roman"/>
      <w:color w:val="2E74B5"/>
      <w:sz w:val="32"/>
      <w:szCs w:val="32"/>
    </w:rPr>
  </w:style>
  <w:style w:type="paragraph" w:customStyle="1" w:styleId="TtuloTDC1">
    <w:name w:val="Título TDC1"/>
    <w:basedOn w:val="Ttulo1"/>
    <w:next w:val="Normal"/>
    <w:uiPriority w:val="39"/>
    <w:unhideWhenUsed/>
    <w:qFormat/>
    <w:rsid w:val="00910852"/>
    <w:pPr>
      <w:outlineLvl w:val="9"/>
    </w:pPr>
  </w:style>
  <w:style w:type="character" w:customStyle="1" w:styleId="Ttulo3Car">
    <w:name w:val="Título 3 Car"/>
    <w:link w:val="Ttulo3"/>
    <w:uiPriority w:val="9"/>
    <w:rsid w:val="00910852"/>
    <w:rPr>
      <w:rFonts w:ascii="Calibri Light" w:eastAsia="Times New Roman" w:hAnsi="Calibri Light" w:cs="Times New Roman"/>
      <w:color w:val="1F4E79"/>
      <w:sz w:val="24"/>
      <w:szCs w:val="24"/>
    </w:rPr>
  </w:style>
  <w:style w:type="character" w:customStyle="1" w:styleId="Ttulo4Car">
    <w:name w:val="Título 4 Car"/>
    <w:link w:val="Ttulo4"/>
    <w:uiPriority w:val="9"/>
    <w:rsid w:val="00910852"/>
    <w:rPr>
      <w:rFonts w:ascii="Calibri Light" w:eastAsia="Times New Roman" w:hAnsi="Calibri Light" w:cs="Times New Roman"/>
      <w:i/>
      <w:iCs/>
      <w:color w:val="2E74B5"/>
    </w:rPr>
  </w:style>
  <w:style w:type="character" w:customStyle="1" w:styleId="Ttulo5Car">
    <w:name w:val="Título 5 Car"/>
    <w:link w:val="Ttulo5"/>
    <w:uiPriority w:val="9"/>
    <w:semiHidden/>
    <w:rsid w:val="00910852"/>
    <w:rPr>
      <w:rFonts w:ascii="Calibri Light" w:eastAsia="Times New Roman" w:hAnsi="Calibri Light" w:cs="Times New Roman"/>
      <w:color w:val="2E74B5"/>
    </w:rPr>
  </w:style>
  <w:style w:type="character" w:customStyle="1" w:styleId="Ttulo6Car">
    <w:name w:val="Título 6 Car"/>
    <w:link w:val="Ttulo6"/>
    <w:uiPriority w:val="9"/>
    <w:semiHidden/>
    <w:rsid w:val="00910852"/>
    <w:rPr>
      <w:rFonts w:ascii="Calibri Light" w:eastAsia="Times New Roman" w:hAnsi="Calibri Light" w:cs="Times New Roman"/>
      <w:color w:val="1F4E79"/>
    </w:rPr>
  </w:style>
  <w:style w:type="character" w:customStyle="1" w:styleId="Ttulo7Car">
    <w:name w:val="Título 7 Car"/>
    <w:link w:val="Ttulo7"/>
    <w:uiPriority w:val="9"/>
    <w:semiHidden/>
    <w:rsid w:val="00910852"/>
    <w:rPr>
      <w:rFonts w:ascii="Calibri Light" w:eastAsia="Times New Roman" w:hAnsi="Calibri Light" w:cs="Times New Roman"/>
      <w:i/>
      <w:iCs/>
      <w:color w:val="1F4E79"/>
    </w:rPr>
  </w:style>
  <w:style w:type="character" w:customStyle="1" w:styleId="Ttulo8Car">
    <w:name w:val="Título 8 Car"/>
    <w:link w:val="Ttulo8"/>
    <w:uiPriority w:val="9"/>
    <w:semiHidden/>
    <w:rsid w:val="00910852"/>
    <w:rPr>
      <w:rFonts w:ascii="Calibri Light" w:eastAsia="Times New Roman" w:hAnsi="Calibri Light" w:cs="Times New Roman"/>
      <w:color w:val="262626"/>
      <w:sz w:val="21"/>
      <w:szCs w:val="21"/>
    </w:rPr>
  </w:style>
  <w:style w:type="character" w:customStyle="1" w:styleId="Ttulo9Car">
    <w:name w:val="Título 9 Car"/>
    <w:link w:val="Ttulo9"/>
    <w:uiPriority w:val="9"/>
    <w:semiHidden/>
    <w:rsid w:val="00910852"/>
    <w:rPr>
      <w:rFonts w:ascii="Calibri Light" w:eastAsia="Times New Roman" w:hAnsi="Calibri Light" w:cs="Times New Roman"/>
      <w:i/>
      <w:iCs/>
      <w:color w:val="262626"/>
      <w:sz w:val="21"/>
      <w:szCs w:val="21"/>
    </w:rPr>
  </w:style>
  <w:style w:type="paragraph" w:customStyle="1" w:styleId="Descripcin1">
    <w:name w:val="Descripción1"/>
    <w:basedOn w:val="Normal"/>
    <w:next w:val="Normal"/>
    <w:uiPriority w:val="35"/>
    <w:semiHidden/>
    <w:unhideWhenUsed/>
    <w:qFormat/>
    <w:rsid w:val="00910852"/>
    <w:pPr>
      <w:spacing w:after="200" w:line="240" w:lineRule="auto"/>
    </w:pPr>
    <w:rPr>
      <w:i/>
      <w:iCs/>
      <w:color w:val="44546A"/>
      <w:sz w:val="18"/>
      <w:szCs w:val="18"/>
    </w:rPr>
  </w:style>
  <w:style w:type="paragraph" w:styleId="Ttulo">
    <w:name w:val="Title"/>
    <w:basedOn w:val="Normal"/>
    <w:next w:val="Normal"/>
    <w:link w:val="TtuloCar"/>
    <w:uiPriority w:val="10"/>
    <w:qFormat/>
    <w:rsid w:val="00910852"/>
    <w:pPr>
      <w:spacing w:after="0" w:line="240" w:lineRule="auto"/>
      <w:contextualSpacing/>
    </w:pPr>
    <w:rPr>
      <w:rFonts w:ascii="Calibri Light" w:hAnsi="Calibri Light"/>
      <w:spacing w:val="-10"/>
      <w:sz w:val="56"/>
      <w:szCs w:val="56"/>
    </w:rPr>
  </w:style>
  <w:style w:type="character" w:customStyle="1" w:styleId="TtuloCar">
    <w:name w:val="Título Car"/>
    <w:link w:val="Ttulo"/>
    <w:uiPriority w:val="10"/>
    <w:rsid w:val="00910852"/>
    <w:rPr>
      <w:rFonts w:ascii="Calibri Light" w:eastAsia="Times New Roman" w:hAnsi="Calibri Light" w:cs="Times New Roman"/>
      <w:spacing w:val="-10"/>
      <w:sz w:val="56"/>
      <w:szCs w:val="56"/>
    </w:rPr>
  </w:style>
  <w:style w:type="paragraph" w:styleId="Subttulo">
    <w:name w:val="Subtitle"/>
    <w:basedOn w:val="Normal"/>
    <w:next w:val="Normal"/>
    <w:link w:val="SubttuloCar"/>
    <w:uiPriority w:val="11"/>
    <w:qFormat/>
    <w:rsid w:val="00910852"/>
    <w:pPr>
      <w:numPr>
        <w:ilvl w:val="1"/>
      </w:numPr>
    </w:pPr>
    <w:rPr>
      <w:color w:val="5A5A5A"/>
      <w:spacing w:val="15"/>
      <w:sz w:val="20"/>
      <w:szCs w:val="20"/>
    </w:rPr>
  </w:style>
  <w:style w:type="character" w:customStyle="1" w:styleId="SubttuloCar">
    <w:name w:val="Subtítulo Car"/>
    <w:link w:val="Subttulo"/>
    <w:uiPriority w:val="11"/>
    <w:rsid w:val="00910852"/>
    <w:rPr>
      <w:color w:val="5A5A5A"/>
      <w:spacing w:val="15"/>
    </w:rPr>
  </w:style>
  <w:style w:type="character" w:styleId="Textoennegrita">
    <w:name w:val="Strong"/>
    <w:uiPriority w:val="22"/>
    <w:qFormat/>
    <w:rsid w:val="00910852"/>
    <w:rPr>
      <w:b/>
      <w:bCs/>
      <w:color w:val="auto"/>
    </w:rPr>
  </w:style>
  <w:style w:type="paragraph" w:styleId="Sinespaciado">
    <w:name w:val="No Spacing"/>
    <w:uiPriority w:val="1"/>
    <w:qFormat/>
    <w:rsid w:val="00910852"/>
    <w:rPr>
      <w:sz w:val="22"/>
      <w:szCs w:val="22"/>
      <w:lang w:val="es-ES" w:eastAsia="en-US"/>
    </w:rPr>
  </w:style>
  <w:style w:type="paragraph" w:styleId="Cita">
    <w:name w:val="Quote"/>
    <w:basedOn w:val="Normal"/>
    <w:next w:val="Normal"/>
    <w:link w:val="CitaCar"/>
    <w:uiPriority w:val="29"/>
    <w:qFormat/>
    <w:rsid w:val="00910852"/>
    <w:pPr>
      <w:spacing w:before="200"/>
      <w:ind w:left="864" w:right="864"/>
    </w:pPr>
    <w:rPr>
      <w:i/>
      <w:iCs/>
      <w:color w:val="404040"/>
      <w:sz w:val="20"/>
      <w:szCs w:val="20"/>
    </w:rPr>
  </w:style>
  <w:style w:type="character" w:customStyle="1" w:styleId="CitaCar">
    <w:name w:val="Cita Car"/>
    <w:link w:val="Cita"/>
    <w:uiPriority w:val="29"/>
    <w:rsid w:val="00910852"/>
    <w:rPr>
      <w:i/>
      <w:iCs/>
      <w:color w:val="404040"/>
    </w:rPr>
  </w:style>
  <w:style w:type="paragraph" w:styleId="Citadestacada">
    <w:name w:val="Intense Quote"/>
    <w:basedOn w:val="Normal"/>
    <w:next w:val="Normal"/>
    <w:link w:val="CitadestacadaCar"/>
    <w:uiPriority w:val="30"/>
    <w:qFormat/>
    <w:rsid w:val="00910852"/>
    <w:pPr>
      <w:pBdr>
        <w:top w:val="single" w:sz="4" w:space="10" w:color="5B9BD5"/>
        <w:bottom w:val="single" w:sz="4" w:space="10" w:color="5B9BD5"/>
      </w:pBdr>
      <w:spacing w:before="360" w:after="360"/>
      <w:ind w:left="864" w:right="864"/>
      <w:jc w:val="center"/>
    </w:pPr>
    <w:rPr>
      <w:i/>
      <w:iCs/>
      <w:color w:val="5B9BD5"/>
      <w:sz w:val="20"/>
      <w:szCs w:val="20"/>
    </w:rPr>
  </w:style>
  <w:style w:type="character" w:customStyle="1" w:styleId="CitadestacadaCar">
    <w:name w:val="Cita destacada Car"/>
    <w:link w:val="Citadestacada"/>
    <w:uiPriority w:val="30"/>
    <w:rsid w:val="00910852"/>
    <w:rPr>
      <w:i/>
      <w:iCs/>
      <w:color w:val="5B9BD5"/>
    </w:rPr>
  </w:style>
  <w:style w:type="character" w:styleId="nfasissutil">
    <w:name w:val="Subtle Emphasis"/>
    <w:uiPriority w:val="19"/>
    <w:qFormat/>
    <w:rsid w:val="00910852"/>
    <w:rPr>
      <w:i/>
      <w:iCs/>
      <w:color w:val="404040"/>
    </w:rPr>
  </w:style>
  <w:style w:type="character" w:styleId="nfasisintenso">
    <w:name w:val="Intense Emphasis"/>
    <w:uiPriority w:val="21"/>
    <w:qFormat/>
    <w:rsid w:val="00910852"/>
    <w:rPr>
      <w:i/>
      <w:iCs/>
      <w:color w:val="5B9BD5"/>
    </w:rPr>
  </w:style>
  <w:style w:type="character" w:styleId="Referenciasutil">
    <w:name w:val="Subtle Reference"/>
    <w:uiPriority w:val="31"/>
    <w:qFormat/>
    <w:rsid w:val="00910852"/>
    <w:rPr>
      <w:smallCaps/>
      <w:color w:val="404040"/>
    </w:rPr>
  </w:style>
  <w:style w:type="character" w:styleId="Referenciaintensa">
    <w:name w:val="Intense Reference"/>
    <w:uiPriority w:val="32"/>
    <w:qFormat/>
    <w:rsid w:val="00910852"/>
    <w:rPr>
      <w:b/>
      <w:bCs/>
      <w:smallCaps/>
      <w:color w:val="5B9BD5"/>
      <w:spacing w:val="5"/>
    </w:rPr>
  </w:style>
  <w:style w:type="character" w:styleId="Ttulodellibro">
    <w:name w:val="Book Title"/>
    <w:uiPriority w:val="33"/>
    <w:qFormat/>
    <w:rsid w:val="00910852"/>
    <w:rPr>
      <w:b/>
      <w:bCs/>
      <w:i/>
      <w:iCs/>
      <w:spacing w:val="5"/>
    </w:rPr>
  </w:style>
  <w:style w:type="paragraph" w:styleId="TDC1">
    <w:name w:val="toc 1"/>
    <w:basedOn w:val="Normal"/>
    <w:next w:val="Normal"/>
    <w:autoRedefine/>
    <w:uiPriority w:val="39"/>
    <w:unhideWhenUsed/>
    <w:rsid w:val="00C03DFD"/>
    <w:pPr>
      <w:spacing w:after="100"/>
    </w:pPr>
  </w:style>
  <w:style w:type="paragraph" w:styleId="TDC3">
    <w:name w:val="toc 3"/>
    <w:basedOn w:val="Normal"/>
    <w:next w:val="Normal"/>
    <w:autoRedefine/>
    <w:uiPriority w:val="39"/>
    <w:unhideWhenUsed/>
    <w:rsid w:val="00C03DFD"/>
    <w:pPr>
      <w:spacing w:after="100"/>
      <w:ind w:left="440"/>
    </w:pPr>
  </w:style>
  <w:style w:type="paragraph" w:styleId="TDC2">
    <w:name w:val="toc 2"/>
    <w:basedOn w:val="Normal"/>
    <w:next w:val="Normal"/>
    <w:autoRedefine/>
    <w:uiPriority w:val="39"/>
    <w:unhideWhenUsed/>
    <w:rsid w:val="00B41393"/>
    <w:pPr>
      <w:spacing w:after="100"/>
      <w:ind w:left="220"/>
    </w:pPr>
  </w:style>
  <w:style w:type="paragraph" w:styleId="TDC4">
    <w:name w:val="toc 4"/>
    <w:basedOn w:val="Normal"/>
    <w:next w:val="Normal"/>
    <w:autoRedefine/>
    <w:uiPriority w:val="39"/>
    <w:unhideWhenUsed/>
    <w:rsid w:val="00D9335B"/>
    <w:pPr>
      <w:spacing w:after="100"/>
      <w:ind w:left="660"/>
    </w:pPr>
  </w:style>
  <w:style w:type="paragraph" w:customStyle="1" w:styleId="Default">
    <w:name w:val="Default"/>
    <w:rsid w:val="0084629D"/>
    <w:pPr>
      <w:autoSpaceDE w:val="0"/>
      <w:autoSpaceDN w:val="0"/>
      <w:adjustRightInd w:val="0"/>
    </w:pPr>
    <w:rPr>
      <w:rFonts w:ascii="Cambria" w:hAnsi="Cambria" w:cs="Cambria"/>
      <w:color w:val="000000"/>
      <w:sz w:val="24"/>
      <w:szCs w:val="24"/>
      <w:lang w:val="es-CL" w:eastAsia="es-CL"/>
    </w:rPr>
  </w:style>
  <w:style w:type="paragraph" w:styleId="Revisin">
    <w:name w:val="Revision"/>
    <w:hidden/>
    <w:uiPriority w:val="99"/>
    <w:semiHidden/>
    <w:rsid w:val="001A18FD"/>
    <w:rPr>
      <w:sz w:val="22"/>
      <w:szCs w:val="22"/>
      <w:lang w:val="es-ES" w:eastAsia="en-US"/>
    </w:rPr>
  </w:style>
  <w:style w:type="character" w:customStyle="1" w:styleId="apple-style-span">
    <w:name w:val="apple-style-span"/>
    <w:basedOn w:val="Fuentedeprrafopredeter"/>
    <w:rsid w:val="00624AA0"/>
  </w:style>
  <w:style w:type="paragraph" w:styleId="Piedepgina">
    <w:name w:val="footer"/>
    <w:basedOn w:val="Normal"/>
    <w:link w:val="PiedepginaCar"/>
    <w:uiPriority w:val="99"/>
    <w:unhideWhenUsed/>
    <w:rsid w:val="00DE2C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2C07"/>
  </w:style>
  <w:style w:type="paragraph" w:styleId="NormalWeb">
    <w:name w:val="Normal (Web)"/>
    <w:basedOn w:val="Normal"/>
    <w:uiPriority w:val="99"/>
    <w:unhideWhenUsed/>
    <w:rsid w:val="00CF1F2F"/>
    <w:pPr>
      <w:spacing w:before="100" w:beforeAutospacing="1" w:after="100" w:afterAutospacing="1" w:line="240" w:lineRule="auto"/>
    </w:pPr>
    <w:rPr>
      <w:rFonts w:ascii="Times New Roman" w:hAnsi="Times New Roman"/>
      <w:sz w:val="24"/>
      <w:szCs w:val="24"/>
      <w:lang w:val="es-ES_tradnl" w:eastAsia="es-ES_tradnl"/>
    </w:rPr>
  </w:style>
  <w:style w:type="character" w:customStyle="1" w:styleId="color">
    <w:name w:val="color"/>
    <w:rsid w:val="001E0E4C"/>
  </w:style>
  <w:style w:type="paragraph" w:styleId="Bibliografa">
    <w:name w:val="Bibliography"/>
    <w:basedOn w:val="Normal"/>
    <w:next w:val="Normal"/>
    <w:uiPriority w:val="37"/>
    <w:semiHidden/>
    <w:unhideWhenUsed/>
    <w:rsid w:val="003B0D26"/>
  </w:style>
  <w:style w:type="character" w:styleId="Hipervnculovisitado">
    <w:name w:val="FollowedHyperlink"/>
    <w:basedOn w:val="Fuentedeprrafopredeter"/>
    <w:uiPriority w:val="99"/>
    <w:semiHidden/>
    <w:unhideWhenUsed/>
    <w:rsid w:val="00105A9E"/>
    <w:rPr>
      <w:color w:val="800080" w:themeColor="followedHyperlink"/>
      <w:u w:val="single"/>
    </w:rPr>
  </w:style>
  <w:style w:type="character" w:customStyle="1" w:styleId="tlid-translation">
    <w:name w:val="tlid-translation"/>
    <w:basedOn w:val="Fuentedeprrafopredeter"/>
    <w:rsid w:val="00C70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39126">
      <w:bodyDiv w:val="1"/>
      <w:marLeft w:val="0"/>
      <w:marRight w:val="0"/>
      <w:marTop w:val="0"/>
      <w:marBottom w:val="0"/>
      <w:divBdr>
        <w:top w:val="none" w:sz="0" w:space="0" w:color="auto"/>
        <w:left w:val="none" w:sz="0" w:space="0" w:color="auto"/>
        <w:bottom w:val="none" w:sz="0" w:space="0" w:color="auto"/>
        <w:right w:val="none" w:sz="0" w:space="0" w:color="auto"/>
      </w:divBdr>
    </w:div>
    <w:div w:id="129637628">
      <w:bodyDiv w:val="1"/>
      <w:marLeft w:val="0"/>
      <w:marRight w:val="0"/>
      <w:marTop w:val="0"/>
      <w:marBottom w:val="0"/>
      <w:divBdr>
        <w:top w:val="none" w:sz="0" w:space="0" w:color="auto"/>
        <w:left w:val="none" w:sz="0" w:space="0" w:color="auto"/>
        <w:bottom w:val="none" w:sz="0" w:space="0" w:color="auto"/>
        <w:right w:val="none" w:sz="0" w:space="0" w:color="auto"/>
      </w:divBdr>
    </w:div>
    <w:div w:id="146485350">
      <w:bodyDiv w:val="1"/>
      <w:marLeft w:val="0"/>
      <w:marRight w:val="0"/>
      <w:marTop w:val="0"/>
      <w:marBottom w:val="0"/>
      <w:divBdr>
        <w:top w:val="none" w:sz="0" w:space="0" w:color="auto"/>
        <w:left w:val="none" w:sz="0" w:space="0" w:color="auto"/>
        <w:bottom w:val="none" w:sz="0" w:space="0" w:color="auto"/>
        <w:right w:val="none" w:sz="0" w:space="0" w:color="auto"/>
      </w:divBdr>
    </w:div>
    <w:div w:id="209731169">
      <w:bodyDiv w:val="1"/>
      <w:marLeft w:val="0"/>
      <w:marRight w:val="0"/>
      <w:marTop w:val="0"/>
      <w:marBottom w:val="0"/>
      <w:divBdr>
        <w:top w:val="none" w:sz="0" w:space="0" w:color="auto"/>
        <w:left w:val="none" w:sz="0" w:space="0" w:color="auto"/>
        <w:bottom w:val="none" w:sz="0" w:space="0" w:color="auto"/>
        <w:right w:val="none" w:sz="0" w:space="0" w:color="auto"/>
      </w:divBdr>
      <w:divsChild>
        <w:div w:id="467475917">
          <w:marLeft w:val="0"/>
          <w:marRight w:val="0"/>
          <w:marTop w:val="0"/>
          <w:marBottom w:val="0"/>
          <w:divBdr>
            <w:top w:val="none" w:sz="0" w:space="0" w:color="auto"/>
            <w:left w:val="none" w:sz="0" w:space="0" w:color="auto"/>
            <w:bottom w:val="none" w:sz="0" w:space="0" w:color="auto"/>
            <w:right w:val="none" w:sz="0" w:space="0" w:color="auto"/>
          </w:divBdr>
          <w:divsChild>
            <w:div w:id="959914174">
              <w:marLeft w:val="0"/>
              <w:marRight w:val="0"/>
              <w:marTop w:val="0"/>
              <w:marBottom w:val="0"/>
              <w:divBdr>
                <w:top w:val="none" w:sz="0" w:space="0" w:color="auto"/>
                <w:left w:val="none" w:sz="0" w:space="0" w:color="auto"/>
                <w:bottom w:val="none" w:sz="0" w:space="0" w:color="auto"/>
                <w:right w:val="none" w:sz="0" w:space="0" w:color="auto"/>
              </w:divBdr>
              <w:divsChild>
                <w:div w:id="1512648048">
                  <w:marLeft w:val="0"/>
                  <w:marRight w:val="0"/>
                  <w:marTop w:val="0"/>
                  <w:marBottom w:val="0"/>
                  <w:divBdr>
                    <w:top w:val="none" w:sz="0" w:space="0" w:color="auto"/>
                    <w:left w:val="none" w:sz="0" w:space="0" w:color="auto"/>
                    <w:bottom w:val="none" w:sz="0" w:space="0" w:color="auto"/>
                    <w:right w:val="none" w:sz="0" w:space="0" w:color="auto"/>
                  </w:divBdr>
                  <w:divsChild>
                    <w:div w:id="680667755">
                      <w:marLeft w:val="0"/>
                      <w:marRight w:val="0"/>
                      <w:marTop w:val="0"/>
                      <w:marBottom w:val="0"/>
                      <w:divBdr>
                        <w:top w:val="none" w:sz="0" w:space="0" w:color="auto"/>
                        <w:left w:val="none" w:sz="0" w:space="0" w:color="auto"/>
                        <w:bottom w:val="none" w:sz="0" w:space="0" w:color="auto"/>
                        <w:right w:val="none" w:sz="0" w:space="0" w:color="auto"/>
                      </w:divBdr>
                      <w:divsChild>
                        <w:div w:id="1423836004">
                          <w:marLeft w:val="0"/>
                          <w:marRight w:val="0"/>
                          <w:marTop w:val="0"/>
                          <w:marBottom w:val="0"/>
                          <w:divBdr>
                            <w:top w:val="none" w:sz="0" w:space="0" w:color="auto"/>
                            <w:left w:val="none" w:sz="0" w:space="0" w:color="auto"/>
                            <w:bottom w:val="none" w:sz="0" w:space="0" w:color="auto"/>
                            <w:right w:val="none" w:sz="0" w:space="0" w:color="auto"/>
                          </w:divBdr>
                          <w:divsChild>
                            <w:div w:id="645356749">
                              <w:marLeft w:val="0"/>
                              <w:marRight w:val="300"/>
                              <w:marTop w:val="180"/>
                              <w:marBottom w:val="0"/>
                              <w:divBdr>
                                <w:top w:val="none" w:sz="0" w:space="0" w:color="auto"/>
                                <w:left w:val="none" w:sz="0" w:space="0" w:color="auto"/>
                                <w:bottom w:val="none" w:sz="0" w:space="0" w:color="auto"/>
                                <w:right w:val="none" w:sz="0" w:space="0" w:color="auto"/>
                              </w:divBdr>
                              <w:divsChild>
                                <w:div w:id="108457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29833">
          <w:marLeft w:val="0"/>
          <w:marRight w:val="0"/>
          <w:marTop w:val="0"/>
          <w:marBottom w:val="0"/>
          <w:divBdr>
            <w:top w:val="none" w:sz="0" w:space="0" w:color="auto"/>
            <w:left w:val="none" w:sz="0" w:space="0" w:color="auto"/>
            <w:bottom w:val="none" w:sz="0" w:space="0" w:color="auto"/>
            <w:right w:val="none" w:sz="0" w:space="0" w:color="auto"/>
          </w:divBdr>
          <w:divsChild>
            <w:div w:id="794913539">
              <w:marLeft w:val="0"/>
              <w:marRight w:val="0"/>
              <w:marTop w:val="0"/>
              <w:marBottom w:val="0"/>
              <w:divBdr>
                <w:top w:val="none" w:sz="0" w:space="0" w:color="auto"/>
                <w:left w:val="none" w:sz="0" w:space="0" w:color="auto"/>
                <w:bottom w:val="none" w:sz="0" w:space="0" w:color="auto"/>
                <w:right w:val="none" w:sz="0" w:space="0" w:color="auto"/>
              </w:divBdr>
              <w:divsChild>
                <w:div w:id="342441426">
                  <w:marLeft w:val="0"/>
                  <w:marRight w:val="0"/>
                  <w:marTop w:val="0"/>
                  <w:marBottom w:val="0"/>
                  <w:divBdr>
                    <w:top w:val="none" w:sz="0" w:space="0" w:color="auto"/>
                    <w:left w:val="none" w:sz="0" w:space="0" w:color="auto"/>
                    <w:bottom w:val="none" w:sz="0" w:space="0" w:color="auto"/>
                    <w:right w:val="none" w:sz="0" w:space="0" w:color="auto"/>
                  </w:divBdr>
                  <w:divsChild>
                    <w:div w:id="1524130340">
                      <w:marLeft w:val="0"/>
                      <w:marRight w:val="0"/>
                      <w:marTop w:val="0"/>
                      <w:marBottom w:val="0"/>
                      <w:divBdr>
                        <w:top w:val="none" w:sz="0" w:space="0" w:color="auto"/>
                        <w:left w:val="none" w:sz="0" w:space="0" w:color="auto"/>
                        <w:bottom w:val="none" w:sz="0" w:space="0" w:color="auto"/>
                        <w:right w:val="none" w:sz="0" w:space="0" w:color="auto"/>
                      </w:divBdr>
                      <w:divsChild>
                        <w:div w:id="14660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286844">
      <w:bodyDiv w:val="1"/>
      <w:marLeft w:val="0"/>
      <w:marRight w:val="0"/>
      <w:marTop w:val="0"/>
      <w:marBottom w:val="0"/>
      <w:divBdr>
        <w:top w:val="none" w:sz="0" w:space="0" w:color="auto"/>
        <w:left w:val="none" w:sz="0" w:space="0" w:color="auto"/>
        <w:bottom w:val="none" w:sz="0" w:space="0" w:color="auto"/>
        <w:right w:val="none" w:sz="0" w:space="0" w:color="auto"/>
      </w:divBdr>
    </w:div>
    <w:div w:id="316958118">
      <w:bodyDiv w:val="1"/>
      <w:marLeft w:val="0"/>
      <w:marRight w:val="0"/>
      <w:marTop w:val="0"/>
      <w:marBottom w:val="0"/>
      <w:divBdr>
        <w:top w:val="none" w:sz="0" w:space="0" w:color="auto"/>
        <w:left w:val="none" w:sz="0" w:space="0" w:color="auto"/>
        <w:bottom w:val="none" w:sz="0" w:space="0" w:color="auto"/>
        <w:right w:val="none" w:sz="0" w:space="0" w:color="auto"/>
      </w:divBdr>
    </w:div>
    <w:div w:id="351998218">
      <w:bodyDiv w:val="1"/>
      <w:marLeft w:val="0"/>
      <w:marRight w:val="0"/>
      <w:marTop w:val="0"/>
      <w:marBottom w:val="0"/>
      <w:divBdr>
        <w:top w:val="none" w:sz="0" w:space="0" w:color="auto"/>
        <w:left w:val="none" w:sz="0" w:space="0" w:color="auto"/>
        <w:bottom w:val="none" w:sz="0" w:space="0" w:color="auto"/>
        <w:right w:val="none" w:sz="0" w:space="0" w:color="auto"/>
      </w:divBdr>
    </w:div>
    <w:div w:id="381682536">
      <w:bodyDiv w:val="1"/>
      <w:marLeft w:val="0"/>
      <w:marRight w:val="0"/>
      <w:marTop w:val="0"/>
      <w:marBottom w:val="0"/>
      <w:divBdr>
        <w:top w:val="none" w:sz="0" w:space="0" w:color="auto"/>
        <w:left w:val="none" w:sz="0" w:space="0" w:color="auto"/>
        <w:bottom w:val="none" w:sz="0" w:space="0" w:color="auto"/>
        <w:right w:val="none" w:sz="0" w:space="0" w:color="auto"/>
      </w:divBdr>
    </w:div>
    <w:div w:id="394553732">
      <w:bodyDiv w:val="1"/>
      <w:marLeft w:val="0"/>
      <w:marRight w:val="0"/>
      <w:marTop w:val="0"/>
      <w:marBottom w:val="0"/>
      <w:divBdr>
        <w:top w:val="none" w:sz="0" w:space="0" w:color="auto"/>
        <w:left w:val="none" w:sz="0" w:space="0" w:color="auto"/>
        <w:bottom w:val="none" w:sz="0" w:space="0" w:color="auto"/>
        <w:right w:val="none" w:sz="0" w:space="0" w:color="auto"/>
      </w:divBdr>
    </w:div>
    <w:div w:id="453448107">
      <w:bodyDiv w:val="1"/>
      <w:marLeft w:val="0"/>
      <w:marRight w:val="0"/>
      <w:marTop w:val="0"/>
      <w:marBottom w:val="0"/>
      <w:divBdr>
        <w:top w:val="none" w:sz="0" w:space="0" w:color="auto"/>
        <w:left w:val="none" w:sz="0" w:space="0" w:color="auto"/>
        <w:bottom w:val="none" w:sz="0" w:space="0" w:color="auto"/>
        <w:right w:val="none" w:sz="0" w:space="0" w:color="auto"/>
      </w:divBdr>
    </w:div>
    <w:div w:id="490483257">
      <w:bodyDiv w:val="1"/>
      <w:marLeft w:val="0"/>
      <w:marRight w:val="0"/>
      <w:marTop w:val="0"/>
      <w:marBottom w:val="0"/>
      <w:divBdr>
        <w:top w:val="none" w:sz="0" w:space="0" w:color="auto"/>
        <w:left w:val="none" w:sz="0" w:space="0" w:color="auto"/>
        <w:bottom w:val="none" w:sz="0" w:space="0" w:color="auto"/>
        <w:right w:val="none" w:sz="0" w:space="0" w:color="auto"/>
      </w:divBdr>
    </w:div>
    <w:div w:id="561529826">
      <w:bodyDiv w:val="1"/>
      <w:marLeft w:val="0"/>
      <w:marRight w:val="0"/>
      <w:marTop w:val="0"/>
      <w:marBottom w:val="0"/>
      <w:divBdr>
        <w:top w:val="none" w:sz="0" w:space="0" w:color="auto"/>
        <w:left w:val="none" w:sz="0" w:space="0" w:color="auto"/>
        <w:bottom w:val="none" w:sz="0" w:space="0" w:color="auto"/>
        <w:right w:val="none" w:sz="0" w:space="0" w:color="auto"/>
      </w:divBdr>
    </w:div>
    <w:div w:id="609705763">
      <w:bodyDiv w:val="1"/>
      <w:marLeft w:val="0"/>
      <w:marRight w:val="0"/>
      <w:marTop w:val="0"/>
      <w:marBottom w:val="0"/>
      <w:divBdr>
        <w:top w:val="none" w:sz="0" w:space="0" w:color="auto"/>
        <w:left w:val="none" w:sz="0" w:space="0" w:color="auto"/>
        <w:bottom w:val="none" w:sz="0" w:space="0" w:color="auto"/>
        <w:right w:val="none" w:sz="0" w:space="0" w:color="auto"/>
      </w:divBdr>
      <w:divsChild>
        <w:div w:id="893271899">
          <w:marLeft w:val="0"/>
          <w:marRight w:val="0"/>
          <w:marTop w:val="0"/>
          <w:marBottom w:val="0"/>
          <w:divBdr>
            <w:top w:val="none" w:sz="0" w:space="0" w:color="auto"/>
            <w:left w:val="none" w:sz="0" w:space="0" w:color="auto"/>
            <w:bottom w:val="none" w:sz="0" w:space="0" w:color="auto"/>
            <w:right w:val="none" w:sz="0" w:space="0" w:color="auto"/>
          </w:divBdr>
        </w:div>
      </w:divsChild>
    </w:div>
    <w:div w:id="669917466">
      <w:bodyDiv w:val="1"/>
      <w:marLeft w:val="0"/>
      <w:marRight w:val="0"/>
      <w:marTop w:val="0"/>
      <w:marBottom w:val="0"/>
      <w:divBdr>
        <w:top w:val="none" w:sz="0" w:space="0" w:color="auto"/>
        <w:left w:val="none" w:sz="0" w:space="0" w:color="auto"/>
        <w:bottom w:val="none" w:sz="0" w:space="0" w:color="auto"/>
        <w:right w:val="none" w:sz="0" w:space="0" w:color="auto"/>
      </w:divBdr>
    </w:div>
    <w:div w:id="690228494">
      <w:bodyDiv w:val="1"/>
      <w:marLeft w:val="0"/>
      <w:marRight w:val="0"/>
      <w:marTop w:val="0"/>
      <w:marBottom w:val="0"/>
      <w:divBdr>
        <w:top w:val="none" w:sz="0" w:space="0" w:color="auto"/>
        <w:left w:val="none" w:sz="0" w:space="0" w:color="auto"/>
        <w:bottom w:val="none" w:sz="0" w:space="0" w:color="auto"/>
        <w:right w:val="none" w:sz="0" w:space="0" w:color="auto"/>
      </w:divBdr>
    </w:div>
    <w:div w:id="707723613">
      <w:bodyDiv w:val="1"/>
      <w:marLeft w:val="0"/>
      <w:marRight w:val="0"/>
      <w:marTop w:val="0"/>
      <w:marBottom w:val="0"/>
      <w:divBdr>
        <w:top w:val="none" w:sz="0" w:space="0" w:color="auto"/>
        <w:left w:val="none" w:sz="0" w:space="0" w:color="auto"/>
        <w:bottom w:val="none" w:sz="0" w:space="0" w:color="auto"/>
        <w:right w:val="none" w:sz="0" w:space="0" w:color="auto"/>
      </w:divBdr>
      <w:divsChild>
        <w:div w:id="1494107290">
          <w:marLeft w:val="0"/>
          <w:marRight w:val="0"/>
          <w:marTop w:val="0"/>
          <w:marBottom w:val="0"/>
          <w:divBdr>
            <w:top w:val="none" w:sz="0" w:space="0" w:color="auto"/>
            <w:left w:val="none" w:sz="0" w:space="0" w:color="auto"/>
            <w:bottom w:val="none" w:sz="0" w:space="0" w:color="auto"/>
            <w:right w:val="none" w:sz="0" w:space="0" w:color="auto"/>
          </w:divBdr>
          <w:divsChild>
            <w:div w:id="1455173364">
              <w:marLeft w:val="0"/>
              <w:marRight w:val="0"/>
              <w:marTop w:val="0"/>
              <w:marBottom w:val="0"/>
              <w:divBdr>
                <w:top w:val="none" w:sz="0" w:space="0" w:color="auto"/>
                <w:left w:val="none" w:sz="0" w:space="0" w:color="auto"/>
                <w:bottom w:val="none" w:sz="0" w:space="0" w:color="auto"/>
                <w:right w:val="none" w:sz="0" w:space="0" w:color="auto"/>
              </w:divBdr>
              <w:divsChild>
                <w:div w:id="51582613">
                  <w:marLeft w:val="0"/>
                  <w:marRight w:val="0"/>
                  <w:marTop w:val="0"/>
                  <w:marBottom w:val="0"/>
                  <w:divBdr>
                    <w:top w:val="none" w:sz="0" w:space="0" w:color="auto"/>
                    <w:left w:val="none" w:sz="0" w:space="0" w:color="auto"/>
                    <w:bottom w:val="none" w:sz="0" w:space="0" w:color="auto"/>
                    <w:right w:val="none" w:sz="0" w:space="0" w:color="auto"/>
                  </w:divBdr>
                  <w:divsChild>
                    <w:div w:id="1395541520">
                      <w:marLeft w:val="0"/>
                      <w:marRight w:val="0"/>
                      <w:marTop w:val="0"/>
                      <w:marBottom w:val="0"/>
                      <w:divBdr>
                        <w:top w:val="none" w:sz="0" w:space="0" w:color="auto"/>
                        <w:left w:val="none" w:sz="0" w:space="0" w:color="auto"/>
                        <w:bottom w:val="none" w:sz="0" w:space="0" w:color="auto"/>
                        <w:right w:val="none" w:sz="0" w:space="0" w:color="auto"/>
                      </w:divBdr>
                      <w:divsChild>
                        <w:div w:id="521892801">
                          <w:marLeft w:val="0"/>
                          <w:marRight w:val="0"/>
                          <w:marTop w:val="0"/>
                          <w:marBottom w:val="0"/>
                          <w:divBdr>
                            <w:top w:val="none" w:sz="0" w:space="0" w:color="auto"/>
                            <w:left w:val="none" w:sz="0" w:space="0" w:color="auto"/>
                            <w:bottom w:val="none" w:sz="0" w:space="0" w:color="auto"/>
                            <w:right w:val="none" w:sz="0" w:space="0" w:color="auto"/>
                          </w:divBdr>
                          <w:divsChild>
                            <w:div w:id="379013670">
                              <w:marLeft w:val="0"/>
                              <w:marRight w:val="300"/>
                              <w:marTop w:val="180"/>
                              <w:marBottom w:val="0"/>
                              <w:divBdr>
                                <w:top w:val="none" w:sz="0" w:space="0" w:color="auto"/>
                                <w:left w:val="none" w:sz="0" w:space="0" w:color="auto"/>
                                <w:bottom w:val="none" w:sz="0" w:space="0" w:color="auto"/>
                                <w:right w:val="none" w:sz="0" w:space="0" w:color="auto"/>
                              </w:divBdr>
                              <w:divsChild>
                                <w:div w:id="5056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719582">
          <w:marLeft w:val="0"/>
          <w:marRight w:val="0"/>
          <w:marTop w:val="0"/>
          <w:marBottom w:val="0"/>
          <w:divBdr>
            <w:top w:val="none" w:sz="0" w:space="0" w:color="auto"/>
            <w:left w:val="none" w:sz="0" w:space="0" w:color="auto"/>
            <w:bottom w:val="none" w:sz="0" w:space="0" w:color="auto"/>
            <w:right w:val="none" w:sz="0" w:space="0" w:color="auto"/>
          </w:divBdr>
          <w:divsChild>
            <w:div w:id="697707828">
              <w:marLeft w:val="0"/>
              <w:marRight w:val="0"/>
              <w:marTop w:val="0"/>
              <w:marBottom w:val="0"/>
              <w:divBdr>
                <w:top w:val="none" w:sz="0" w:space="0" w:color="auto"/>
                <w:left w:val="none" w:sz="0" w:space="0" w:color="auto"/>
                <w:bottom w:val="none" w:sz="0" w:space="0" w:color="auto"/>
                <w:right w:val="none" w:sz="0" w:space="0" w:color="auto"/>
              </w:divBdr>
              <w:divsChild>
                <w:div w:id="386950442">
                  <w:marLeft w:val="0"/>
                  <w:marRight w:val="0"/>
                  <w:marTop w:val="0"/>
                  <w:marBottom w:val="0"/>
                  <w:divBdr>
                    <w:top w:val="none" w:sz="0" w:space="0" w:color="auto"/>
                    <w:left w:val="none" w:sz="0" w:space="0" w:color="auto"/>
                    <w:bottom w:val="none" w:sz="0" w:space="0" w:color="auto"/>
                    <w:right w:val="none" w:sz="0" w:space="0" w:color="auto"/>
                  </w:divBdr>
                  <w:divsChild>
                    <w:div w:id="1069303313">
                      <w:marLeft w:val="0"/>
                      <w:marRight w:val="0"/>
                      <w:marTop w:val="0"/>
                      <w:marBottom w:val="0"/>
                      <w:divBdr>
                        <w:top w:val="none" w:sz="0" w:space="0" w:color="auto"/>
                        <w:left w:val="none" w:sz="0" w:space="0" w:color="auto"/>
                        <w:bottom w:val="none" w:sz="0" w:space="0" w:color="auto"/>
                        <w:right w:val="none" w:sz="0" w:space="0" w:color="auto"/>
                      </w:divBdr>
                      <w:divsChild>
                        <w:div w:id="189453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9879149">
      <w:bodyDiv w:val="1"/>
      <w:marLeft w:val="0"/>
      <w:marRight w:val="0"/>
      <w:marTop w:val="0"/>
      <w:marBottom w:val="0"/>
      <w:divBdr>
        <w:top w:val="none" w:sz="0" w:space="0" w:color="auto"/>
        <w:left w:val="none" w:sz="0" w:space="0" w:color="auto"/>
        <w:bottom w:val="none" w:sz="0" w:space="0" w:color="auto"/>
        <w:right w:val="none" w:sz="0" w:space="0" w:color="auto"/>
      </w:divBdr>
    </w:div>
    <w:div w:id="807623868">
      <w:bodyDiv w:val="1"/>
      <w:marLeft w:val="0"/>
      <w:marRight w:val="0"/>
      <w:marTop w:val="0"/>
      <w:marBottom w:val="0"/>
      <w:divBdr>
        <w:top w:val="none" w:sz="0" w:space="0" w:color="auto"/>
        <w:left w:val="none" w:sz="0" w:space="0" w:color="auto"/>
        <w:bottom w:val="none" w:sz="0" w:space="0" w:color="auto"/>
        <w:right w:val="none" w:sz="0" w:space="0" w:color="auto"/>
      </w:divBdr>
    </w:div>
    <w:div w:id="847988775">
      <w:bodyDiv w:val="1"/>
      <w:marLeft w:val="0"/>
      <w:marRight w:val="0"/>
      <w:marTop w:val="0"/>
      <w:marBottom w:val="0"/>
      <w:divBdr>
        <w:top w:val="none" w:sz="0" w:space="0" w:color="auto"/>
        <w:left w:val="none" w:sz="0" w:space="0" w:color="auto"/>
        <w:bottom w:val="none" w:sz="0" w:space="0" w:color="auto"/>
        <w:right w:val="none" w:sz="0" w:space="0" w:color="auto"/>
      </w:divBdr>
    </w:div>
    <w:div w:id="861095672">
      <w:bodyDiv w:val="1"/>
      <w:marLeft w:val="0"/>
      <w:marRight w:val="0"/>
      <w:marTop w:val="0"/>
      <w:marBottom w:val="0"/>
      <w:divBdr>
        <w:top w:val="none" w:sz="0" w:space="0" w:color="auto"/>
        <w:left w:val="none" w:sz="0" w:space="0" w:color="auto"/>
        <w:bottom w:val="none" w:sz="0" w:space="0" w:color="auto"/>
        <w:right w:val="none" w:sz="0" w:space="0" w:color="auto"/>
      </w:divBdr>
    </w:div>
    <w:div w:id="970289838">
      <w:bodyDiv w:val="1"/>
      <w:marLeft w:val="0"/>
      <w:marRight w:val="0"/>
      <w:marTop w:val="0"/>
      <w:marBottom w:val="0"/>
      <w:divBdr>
        <w:top w:val="none" w:sz="0" w:space="0" w:color="auto"/>
        <w:left w:val="none" w:sz="0" w:space="0" w:color="auto"/>
        <w:bottom w:val="none" w:sz="0" w:space="0" w:color="auto"/>
        <w:right w:val="none" w:sz="0" w:space="0" w:color="auto"/>
      </w:divBdr>
    </w:div>
    <w:div w:id="972174754">
      <w:bodyDiv w:val="1"/>
      <w:marLeft w:val="0"/>
      <w:marRight w:val="0"/>
      <w:marTop w:val="0"/>
      <w:marBottom w:val="0"/>
      <w:divBdr>
        <w:top w:val="none" w:sz="0" w:space="0" w:color="auto"/>
        <w:left w:val="none" w:sz="0" w:space="0" w:color="auto"/>
        <w:bottom w:val="none" w:sz="0" w:space="0" w:color="auto"/>
        <w:right w:val="none" w:sz="0" w:space="0" w:color="auto"/>
      </w:divBdr>
    </w:div>
    <w:div w:id="991838059">
      <w:bodyDiv w:val="1"/>
      <w:marLeft w:val="0"/>
      <w:marRight w:val="0"/>
      <w:marTop w:val="0"/>
      <w:marBottom w:val="0"/>
      <w:divBdr>
        <w:top w:val="none" w:sz="0" w:space="0" w:color="auto"/>
        <w:left w:val="none" w:sz="0" w:space="0" w:color="auto"/>
        <w:bottom w:val="none" w:sz="0" w:space="0" w:color="auto"/>
        <w:right w:val="none" w:sz="0" w:space="0" w:color="auto"/>
      </w:divBdr>
    </w:div>
    <w:div w:id="1000356310">
      <w:bodyDiv w:val="1"/>
      <w:marLeft w:val="0"/>
      <w:marRight w:val="0"/>
      <w:marTop w:val="0"/>
      <w:marBottom w:val="0"/>
      <w:divBdr>
        <w:top w:val="none" w:sz="0" w:space="0" w:color="auto"/>
        <w:left w:val="none" w:sz="0" w:space="0" w:color="auto"/>
        <w:bottom w:val="none" w:sz="0" w:space="0" w:color="auto"/>
        <w:right w:val="none" w:sz="0" w:space="0" w:color="auto"/>
      </w:divBdr>
    </w:div>
    <w:div w:id="1217618528">
      <w:bodyDiv w:val="1"/>
      <w:marLeft w:val="0"/>
      <w:marRight w:val="0"/>
      <w:marTop w:val="0"/>
      <w:marBottom w:val="0"/>
      <w:divBdr>
        <w:top w:val="none" w:sz="0" w:space="0" w:color="auto"/>
        <w:left w:val="none" w:sz="0" w:space="0" w:color="auto"/>
        <w:bottom w:val="none" w:sz="0" w:space="0" w:color="auto"/>
        <w:right w:val="none" w:sz="0" w:space="0" w:color="auto"/>
      </w:divBdr>
    </w:div>
    <w:div w:id="1218273548">
      <w:bodyDiv w:val="1"/>
      <w:marLeft w:val="0"/>
      <w:marRight w:val="0"/>
      <w:marTop w:val="0"/>
      <w:marBottom w:val="0"/>
      <w:divBdr>
        <w:top w:val="none" w:sz="0" w:space="0" w:color="auto"/>
        <w:left w:val="none" w:sz="0" w:space="0" w:color="auto"/>
        <w:bottom w:val="none" w:sz="0" w:space="0" w:color="auto"/>
        <w:right w:val="none" w:sz="0" w:space="0" w:color="auto"/>
      </w:divBdr>
    </w:div>
    <w:div w:id="1250457293">
      <w:bodyDiv w:val="1"/>
      <w:marLeft w:val="0"/>
      <w:marRight w:val="0"/>
      <w:marTop w:val="0"/>
      <w:marBottom w:val="0"/>
      <w:divBdr>
        <w:top w:val="none" w:sz="0" w:space="0" w:color="auto"/>
        <w:left w:val="none" w:sz="0" w:space="0" w:color="auto"/>
        <w:bottom w:val="none" w:sz="0" w:space="0" w:color="auto"/>
        <w:right w:val="none" w:sz="0" w:space="0" w:color="auto"/>
      </w:divBdr>
    </w:div>
    <w:div w:id="1309625016">
      <w:bodyDiv w:val="1"/>
      <w:marLeft w:val="0"/>
      <w:marRight w:val="0"/>
      <w:marTop w:val="0"/>
      <w:marBottom w:val="0"/>
      <w:divBdr>
        <w:top w:val="none" w:sz="0" w:space="0" w:color="auto"/>
        <w:left w:val="none" w:sz="0" w:space="0" w:color="auto"/>
        <w:bottom w:val="none" w:sz="0" w:space="0" w:color="auto"/>
        <w:right w:val="none" w:sz="0" w:space="0" w:color="auto"/>
      </w:divBdr>
      <w:divsChild>
        <w:div w:id="75714499">
          <w:marLeft w:val="0"/>
          <w:marRight w:val="0"/>
          <w:marTop w:val="0"/>
          <w:marBottom w:val="0"/>
          <w:divBdr>
            <w:top w:val="none" w:sz="0" w:space="0" w:color="auto"/>
            <w:left w:val="none" w:sz="0" w:space="0" w:color="auto"/>
            <w:bottom w:val="none" w:sz="0" w:space="0" w:color="auto"/>
            <w:right w:val="none" w:sz="0" w:space="0" w:color="auto"/>
          </w:divBdr>
          <w:divsChild>
            <w:div w:id="640379051">
              <w:marLeft w:val="0"/>
              <w:marRight w:val="0"/>
              <w:marTop w:val="0"/>
              <w:marBottom w:val="0"/>
              <w:divBdr>
                <w:top w:val="none" w:sz="0" w:space="0" w:color="auto"/>
                <w:left w:val="none" w:sz="0" w:space="0" w:color="auto"/>
                <w:bottom w:val="none" w:sz="0" w:space="0" w:color="auto"/>
                <w:right w:val="none" w:sz="0" w:space="0" w:color="auto"/>
              </w:divBdr>
              <w:divsChild>
                <w:div w:id="8993233">
                  <w:marLeft w:val="0"/>
                  <w:marRight w:val="0"/>
                  <w:marTop w:val="0"/>
                  <w:marBottom w:val="0"/>
                  <w:divBdr>
                    <w:top w:val="none" w:sz="0" w:space="0" w:color="auto"/>
                    <w:left w:val="none" w:sz="0" w:space="0" w:color="auto"/>
                    <w:bottom w:val="none" w:sz="0" w:space="0" w:color="auto"/>
                    <w:right w:val="none" w:sz="0" w:space="0" w:color="auto"/>
                  </w:divBdr>
                  <w:divsChild>
                    <w:div w:id="197007782">
                      <w:marLeft w:val="0"/>
                      <w:marRight w:val="0"/>
                      <w:marTop w:val="0"/>
                      <w:marBottom w:val="0"/>
                      <w:divBdr>
                        <w:top w:val="none" w:sz="0" w:space="0" w:color="auto"/>
                        <w:left w:val="none" w:sz="0" w:space="0" w:color="auto"/>
                        <w:bottom w:val="none" w:sz="0" w:space="0" w:color="auto"/>
                        <w:right w:val="none" w:sz="0" w:space="0" w:color="auto"/>
                      </w:divBdr>
                      <w:divsChild>
                        <w:div w:id="1883976491">
                          <w:marLeft w:val="0"/>
                          <w:marRight w:val="0"/>
                          <w:marTop w:val="0"/>
                          <w:marBottom w:val="0"/>
                          <w:divBdr>
                            <w:top w:val="none" w:sz="0" w:space="0" w:color="auto"/>
                            <w:left w:val="none" w:sz="0" w:space="0" w:color="auto"/>
                            <w:bottom w:val="none" w:sz="0" w:space="0" w:color="auto"/>
                            <w:right w:val="none" w:sz="0" w:space="0" w:color="auto"/>
                          </w:divBdr>
                          <w:divsChild>
                            <w:div w:id="1780836132">
                              <w:marLeft w:val="0"/>
                              <w:marRight w:val="300"/>
                              <w:marTop w:val="180"/>
                              <w:marBottom w:val="0"/>
                              <w:divBdr>
                                <w:top w:val="none" w:sz="0" w:space="0" w:color="auto"/>
                                <w:left w:val="none" w:sz="0" w:space="0" w:color="auto"/>
                                <w:bottom w:val="none" w:sz="0" w:space="0" w:color="auto"/>
                                <w:right w:val="none" w:sz="0" w:space="0" w:color="auto"/>
                              </w:divBdr>
                              <w:divsChild>
                                <w:div w:id="65394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964632">
          <w:marLeft w:val="0"/>
          <w:marRight w:val="0"/>
          <w:marTop w:val="0"/>
          <w:marBottom w:val="0"/>
          <w:divBdr>
            <w:top w:val="none" w:sz="0" w:space="0" w:color="auto"/>
            <w:left w:val="none" w:sz="0" w:space="0" w:color="auto"/>
            <w:bottom w:val="none" w:sz="0" w:space="0" w:color="auto"/>
            <w:right w:val="none" w:sz="0" w:space="0" w:color="auto"/>
          </w:divBdr>
          <w:divsChild>
            <w:div w:id="413284544">
              <w:marLeft w:val="0"/>
              <w:marRight w:val="0"/>
              <w:marTop w:val="0"/>
              <w:marBottom w:val="0"/>
              <w:divBdr>
                <w:top w:val="none" w:sz="0" w:space="0" w:color="auto"/>
                <w:left w:val="none" w:sz="0" w:space="0" w:color="auto"/>
                <w:bottom w:val="none" w:sz="0" w:space="0" w:color="auto"/>
                <w:right w:val="none" w:sz="0" w:space="0" w:color="auto"/>
              </w:divBdr>
              <w:divsChild>
                <w:div w:id="302195455">
                  <w:marLeft w:val="0"/>
                  <w:marRight w:val="0"/>
                  <w:marTop w:val="0"/>
                  <w:marBottom w:val="0"/>
                  <w:divBdr>
                    <w:top w:val="none" w:sz="0" w:space="0" w:color="auto"/>
                    <w:left w:val="none" w:sz="0" w:space="0" w:color="auto"/>
                    <w:bottom w:val="none" w:sz="0" w:space="0" w:color="auto"/>
                    <w:right w:val="none" w:sz="0" w:space="0" w:color="auto"/>
                  </w:divBdr>
                  <w:divsChild>
                    <w:div w:id="2121685402">
                      <w:marLeft w:val="0"/>
                      <w:marRight w:val="0"/>
                      <w:marTop w:val="0"/>
                      <w:marBottom w:val="0"/>
                      <w:divBdr>
                        <w:top w:val="none" w:sz="0" w:space="0" w:color="auto"/>
                        <w:left w:val="none" w:sz="0" w:space="0" w:color="auto"/>
                        <w:bottom w:val="none" w:sz="0" w:space="0" w:color="auto"/>
                        <w:right w:val="none" w:sz="0" w:space="0" w:color="auto"/>
                      </w:divBdr>
                      <w:divsChild>
                        <w:div w:id="3223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368024">
      <w:bodyDiv w:val="1"/>
      <w:marLeft w:val="0"/>
      <w:marRight w:val="0"/>
      <w:marTop w:val="0"/>
      <w:marBottom w:val="0"/>
      <w:divBdr>
        <w:top w:val="none" w:sz="0" w:space="0" w:color="auto"/>
        <w:left w:val="none" w:sz="0" w:space="0" w:color="auto"/>
        <w:bottom w:val="none" w:sz="0" w:space="0" w:color="auto"/>
        <w:right w:val="none" w:sz="0" w:space="0" w:color="auto"/>
      </w:divBdr>
    </w:div>
    <w:div w:id="1386954990">
      <w:bodyDiv w:val="1"/>
      <w:marLeft w:val="0"/>
      <w:marRight w:val="0"/>
      <w:marTop w:val="0"/>
      <w:marBottom w:val="0"/>
      <w:divBdr>
        <w:top w:val="none" w:sz="0" w:space="0" w:color="auto"/>
        <w:left w:val="none" w:sz="0" w:space="0" w:color="auto"/>
        <w:bottom w:val="none" w:sz="0" w:space="0" w:color="auto"/>
        <w:right w:val="none" w:sz="0" w:space="0" w:color="auto"/>
      </w:divBdr>
    </w:div>
    <w:div w:id="1394617556">
      <w:bodyDiv w:val="1"/>
      <w:marLeft w:val="0"/>
      <w:marRight w:val="0"/>
      <w:marTop w:val="0"/>
      <w:marBottom w:val="0"/>
      <w:divBdr>
        <w:top w:val="none" w:sz="0" w:space="0" w:color="auto"/>
        <w:left w:val="none" w:sz="0" w:space="0" w:color="auto"/>
        <w:bottom w:val="none" w:sz="0" w:space="0" w:color="auto"/>
        <w:right w:val="none" w:sz="0" w:space="0" w:color="auto"/>
      </w:divBdr>
    </w:div>
    <w:div w:id="1445465973">
      <w:bodyDiv w:val="1"/>
      <w:marLeft w:val="0"/>
      <w:marRight w:val="0"/>
      <w:marTop w:val="0"/>
      <w:marBottom w:val="0"/>
      <w:divBdr>
        <w:top w:val="none" w:sz="0" w:space="0" w:color="auto"/>
        <w:left w:val="none" w:sz="0" w:space="0" w:color="auto"/>
        <w:bottom w:val="none" w:sz="0" w:space="0" w:color="auto"/>
        <w:right w:val="none" w:sz="0" w:space="0" w:color="auto"/>
      </w:divBdr>
    </w:div>
    <w:div w:id="1489127654">
      <w:bodyDiv w:val="1"/>
      <w:marLeft w:val="0"/>
      <w:marRight w:val="0"/>
      <w:marTop w:val="0"/>
      <w:marBottom w:val="0"/>
      <w:divBdr>
        <w:top w:val="none" w:sz="0" w:space="0" w:color="auto"/>
        <w:left w:val="none" w:sz="0" w:space="0" w:color="auto"/>
        <w:bottom w:val="none" w:sz="0" w:space="0" w:color="auto"/>
        <w:right w:val="none" w:sz="0" w:space="0" w:color="auto"/>
      </w:divBdr>
    </w:div>
    <w:div w:id="1532258633">
      <w:bodyDiv w:val="1"/>
      <w:marLeft w:val="0"/>
      <w:marRight w:val="0"/>
      <w:marTop w:val="0"/>
      <w:marBottom w:val="0"/>
      <w:divBdr>
        <w:top w:val="none" w:sz="0" w:space="0" w:color="auto"/>
        <w:left w:val="none" w:sz="0" w:space="0" w:color="auto"/>
        <w:bottom w:val="none" w:sz="0" w:space="0" w:color="auto"/>
        <w:right w:val="none" w:sz="0" w:space="0" w:color="auto"/>
      </w:divBdr>
    </w:div>
    <w:div w:id="1597128174">
      <w:bodyDiv w:val="1"/>
      <w:marLeft w:val="0"/>
      <w:marRight w:val="0"/>
      <w:marTop w:val="0"/>
      <w:marBottom w:val="0"/>
      <w:divBdr>
        <w:top w:val="none" w:sz="0" w:space="0" w:color="auto"/>
        <w:left w:val="none" w:sz="0" w:space="0" w:color="auto"/>
        <w:bottom w:val="none" w:sz="0" w:space="0" w:color="auto"/>
        <w:right w:val="none" w:sz="0" w:space="0" w:color="auto"/>
      </w:divBdr>
    </w:div>
    <w:div w:id="1690836873">
      <w:bodyDiv w:val="1"/>
      <w:marLeft w:val="0"/>
      <w:marRight w:val="0"/>
      <w:marTop w:val="0"/>
      <w:marBottom w:val="0"/>
      <w:divBdr>
        <w:top w:val="none" w:sz="0" w:space="0" w:color="auto"/>
        <w:left w:val="none" w:sz="0" w:space="0" w:color="auto"/>
        <w:bottom w:val="none" w:sz="0" w:space="0" w:color="auto"/>
        <w:right w:val="none" w:sz="0" w:space="0" w:color="auto"/>
      </w:divBdr>
    </w:div>
    <w:div w:id="1819106324">
      <w:bodyDiv w:val="1"/>
      <w:marLeft w:val="0"/>
      <w:marRight w:val="0"/>
      <w:marTop w:val="0"/>
      <w:marBottom w:val="0"/>
      <w:divBdr>
        <w:top w:val="none" w:sz="0" w:space="0" w:color="auto"/>
        <w:left w:val="none" w:sz="0" w:space="0" w:color="auto"/>
        <w:bottom w:val="none" w:sz="0" w:space="0" w:color="auto"/>
        <w:right w:val="none" w:sz="0" w:space="0" w:color="auto"/>
      </w:divBdr>
    </w:div>
    <w:div w:id="1829520146">
      <w:bodyDiv w:val="1"/>
      <w:marLeft w:val="0"/>
      <w:marRight w:val="0"/>
      <w:marTop w:val="0"/>
      <w:marBottom w:val="0"/>
      <w:divBdr>
        <w:top w:val="none" w:sz="0" w:space="0" w:color="auto"/>
        <w:left w:val="none" w:sz="0" w:space="0" w:color="auto"/>
        <w:bottom w:val="none" w:sz="0" w:space="0" w:color="auto"/>
        <w:right w:val="none" w:sz="0" w:space="0" w:color="auto"/>
      </w:divBdr>
    </w:div>
    <w:div w:id="1900554942">
      <w:bodyDiv w:val="1"/>
      <w:marLeft w:val="0"/>
      <w:marRight w:val="0"/>
      <w:marTop w:val="0"/>
      <w:marBottom w:val="0"/>
      <w:divBdr>
        <w:top w:val="none" w:sz="0" w:space="0" w:color="auto"/>
        <w:left w:val="none" w:sz="0" w:space="0" w:color="auto"/>
        <w:bottom w:val="none" w:sz="0" w:space="0" w:color="auto"/>
        <w:right w:val="none" w:sz="0" w:space="0" w:color="auto"/>
      </w:divBdr>
    </w:div>
    <w:div w:id="1941063833">
      <w:bodyDiv w:val="1"/>
      <w:marLeft w:val="0"/>
      <w:marRight w:val="0"/>
      <w:marTop w:val="0"/>
      <w:marBottom w:val="0"/>
      <w:divBdr>
        <w:top w:val="none" w:sz="0" w:space="0" w:color="auto"/>
        <w:left w:val="none" w:sz="0" w:space="0" w:color="auto"/>
        <w:bottom w:val="none" w:sz="0" w:space="0" w:color="auto"/>
        <w:right w:val="none" w:sz="0" w:space="0" w:color="auto"/>
      </w:divBdr>
    </w:div>
    <w:div w:id="1977640833">
      <w:bodyDiv w:val="1"/>
      <w:marLeft w:val="0"/>
      <w:marRight w:val="0"/>
      <w:marTop w:val="0"/>
      <w:marBottom w:val="0"/>
      <w:divBdr>
        <w:top w:val="none" w:sz="0" w:space="0" w:color="auto"/>
        <w:left w:val="none" w:sz="0" w:space="0" w:color="auto"/>
        <w:bottom w:val="none" w:sz="0" w:space="0" w:color="auto"/>
        <w:right w:val="none" w:sz="0" w:space="0" w:color="auto"/>
      </w:divBdr>
    </w:div>
    <w:div w:id="1985163934">
      <w:bodyDiv w:val="1"/>
      <w:marLeft w:val="0"/>
      <w:marRight w:val="0"/>
      <w:marTop w:val="0"/>
      <w:marBottom w:val="0"/>
      <w:divBdr>
        <w:top w:val="none" w:sz="0" w:space="0" w:color="auto"/>
        <w:left w:val="none" w:sz="0" w:space="0" w:color="auto"/>
        <w:bottom w:val="none" w:sz="0" w:space="0" w:color="auto"/>
        <w:right w:val="none" w:sz="0" w:space="0" w:color="auto"/>
      </w:divBdr>
    </w:div>
    <w:div w:id="2005013245">
      <w:bodyDiv w:val="1"/>
      <w:marLeft w:val="0"/>
      <w:marRight w:val="0"/>
      <w:marTop w:val="0"/>
      <w:marBottom w:val="0"/>
      <w:divBdr>
        <w:top w:val="none" w:sz="0" w:space="0" w:color="auto"/>
        <w:left w:val="none" w:sz="0" w:space="0" w:color="auto"/>
        <w:bottom w:val="none" w:sz="0" w:space="0" w:color="auto"/>
        <w:right w:val="none" w:sz="0" w:space="0" w:color="auto"/>
      </w:divBdr>
    </w:div>
    <w:div w:id="2054495721">
      <w:bodyDiv w:val="1"/>
      <w:marLeft w:val="0"/>
      <w:marRight w:val="0"/>
      <w:marTop w:val="0"/>
      <w:marBottom w:val="0"/>
      <w:divBdr>
        <w:top w:val="none" w:sz="0" w:space="0" w:color="auto"/>
        <w:left w:val="none" w:sz="0" w:space="0" w:color="auto"/>
        <w:bottom w:val="none" w:sz="0" w:space="0" w:color="auto"/>
        <w:right w:val="none" w:sz="0" w:space="0" w:color="auto"/>
      </w:divBdr>
    </w:div>
    <w:div w:id="21286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ktorantes@gmail.com" TargetMode="External"/><Relationship Id="rId13" Type="http://schemas.openxmlformats.org/officeDocument/2006/relationships/hyperlink" Target="mailto:sjosueh@yahoo.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oisdiaz@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ricia.alonso@infomed.sld.cu" TargetMode="External"/><Relationship Id="rId5" Type="http://schemas.openxmlformats.org/officeDocument/2006/relationships/webSettings" Target="webSettings.xml"/><Relationship Id="rId15" Type="http://schemas.openxmlformats.org/officeDocument/2006/relationships/hyperlink" Target="mailto:lcsilva@infomed.sld.cu" TargetMode="External"/><Relationship Id="rId10" Type="http://schemas.openxmlformats.org/officeDocument/2006/relationships/hyperlink" Target="mailto:miguelalmaguer031143@gmail.com" TargetMode="External"/><Relationship Id="rId4" Type="http://schemas.openxmlformats.org/officeDocument/2006/relationships/settings" Target="settings.xml"/><Relationship Id="rId9" Type="http://schemas.openxmlformats.org/officeDocument/2006/relationships/hyperlink" Target="mailto:nefroprev@infomed.sld.cu" TargetMode="External"/><Relationship Id="rId14" Type="http://schemas.openxmlformats.org/officeDocument/2006/relationships/hyperlink" Target="mailto:raul.herrera@infomed.sld.cu"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s://www.natural.news/2015-09-30-study-confirms-glyphosate-causes-liver-and-kidney-failure.html" TargetMode="External"/><Relationship Id="rId3" Type="http://schemas.openxmlformats.org/officeDocument/2006/relationships/hyperlink" Target="https://doi.org/10.26633/RPSP.2019.35" TargetMode="External"/><Relationship Id="rId7" Type="http://schemas.openxmlformats.org/officeDocument/2006/relationships/hyperlink" Target="http://link.springer.com/10.1007/s11356-016-7899-z" TargetMode="External"/><Relationship Id="rId2" Type="http://schemas.openxmlformats.org/officeDocument/2006/relationships/hyperlink" Target="http://ins.salud.gob.sv/wp-content/uploads/2018/07/Carga-de-mortalidad-de-enfermedades-no-transmisibles.pdf" TargetMode="External"/><Relationship Id="rId1" Type="http://schemas.openxmlformats.org/officeDocument/2006/relationships/hyperlink" Target="https://www.thelancet.com/campaigns/kidney/updates/kidney-disease-in-latin-america" TargetMode="External"/><Relationship Id="rId6" Type="http://schemas.openxmlformats.org/officeDocument/2006/relationships/hyperlink" Target="https://apps.who.int/iris/handle/10665/205561" TargetMode="External"/><Relationship Id="rId11" Type="http://schemas.openxmlformats.org/officeDocument/2006/relationships/hyperlink" Target="https://www.vox.com/future-perfect/2019/2/15/18213988/chronic-kidney-disease-climate-change" TargetMode="External"/><Relationship Id="rId5" Type="http://schemas.openxmlformats.org/officeDocument/2006/relationships/hyperlink" Target="http://ins.salud.gob.sv/wp-content/uploads/2018/07/Intoxicaciones-agudas-por-plaguicidas.pdf" TargetMode="External"/><Relationship Id="rId10" Type="http://schemas.openxmlformats.org/officeDocument/2006/relationships/hyperlink" Target="http://www.plaguicidasdecentroamerica.una.ac.cr/index.php/base-de-datos-menu" TargetMode="External"/><Relationship Id="rId4" Type="http://schemas.openxmlformats.org/officeDocument/2006/relationships/hyperlink" Target="http://www.salud.gob.sv/archivos/comunicaciones/archivos_comunicados2017/pdf/presentaciones_evento20032017/01-ENECA-ELS-2015.pdf" TargetMode="External"/><Relationship Id="rId9" Type="http://schemas.openxmlformats.org/officeDocument/2006/relationships/hyperlink" Target="http://www.truth-out.org/news/item/34899-monsanto-s-pesticide-is-top-suspect-behind-mysterious-kidney-diseas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309D0-6044-418A-8B72-EC9623284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4825</Words>
  <Characters>27504</Characters>
  <Application>Microsoft Office Word</Application>
  <DocSecurity>0</DocSecurity>
  <Lines>229</Lines>
  <Paragraphs>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32265</CharactersWithSpaces>
  <SharedDoc>false</SharedDoc>
  <HLinks>
    <vt:vector size="192" baseType="variant">
      <vt:variant>
        <vt:i4>131198</vt:i4>
      </vt:variant>
      <vt:variant>
        <vt:i4>21</vt:i4>
      </vt:variant>
      <vt:variant>
        <vt:i4>0</vt:i4>
      </vt:variant>
      <vt:variant>
        <vt:i4>5</vt:i4>
      </vt:variant>
      <vt:variant>
        <vt:lpwstr>mailto:lcsilva@infomed.sld.cu</vt:lpwstr>
      </vt:variant>
      <vt:variant>
        <vt:lpwstr/>
      </vt:variant>
      <vt:variant>
        <vt:i4>1245227</vt:i4>
      </vt:variant>
      <vt:variant>
        <vt:i4>18</vt:i4>
      </vt:variant>
      <vt:variant>
        <vt:i4>0</vt:i4>
      </vt:variant>
      <vt:variant>
        <vt:i4>5</vt:i4>
      </vt:variant>
      <vt:variant>
        <vt:lpwstr>mailto:raul.herrera@infomed.sld.cu</vt:lpwstr>
      </vt:variant>
      <vt:variant>
        <vt:lpwstr/>
      </vt:variant>
      <vt:variant>
        <vt:i4>1245241</vt:i4>
      </vt:variant>
      <vt:variant>
        <vt:i4>15</vt:i4>
      </vt:variant>
      <vt:variant>
        <vt:i4>0</vt:i4>
      </vt:variant>
      <vt:variant>
        <vt:i4>5</vt:i4>
      </vt:variant>
      <vt:variant>
        <vt:lpwstr>mailto:sjosueh@yahoo.com</vt:lpwstr>
      </vt:variant>
      <vt:variant>
        <vt:lpwstr/>
      </vt:variant>
      <vt:variant>
        <vt:i4>6684748</vt:i4>
      </vt:variant>
      <vt:variant>
        <vt:i4>12</vt:i4>
      </vt:variant>
      <vt:variant>
        <vt:i4>0</vt:i4>
      </vt:variant>
      <vt:variant>
        <vt:i4>5</vt:i4>
      </vt:variant>
      <vt:variant>
        <vt:lpwstr>mailto:moisdiaz@gmail.com</vt:lpwstr>
      </vt:variant>
      <vt:variant>
        <vt:lpwstr/>
      </vt:variant>
      <vt:variant>
        <vt:i4>5701742</vt:i4>
      </vt:variant>
      <vt:variant>
        <vt:i4>9</vt:i4>
      </vt:variant>
      <vt:variant>
        <vt:i4>0</vt:i4>
      </vt:variant>
      <vt:variant>
        <vt:i4>5</vt:i4>
      </vt:variant>
      <vt:variant>
        <vt:lpwstr>mailto:patricia.alonso@infomed.sld.cu</vt:lpwstr>
      </vt:variant>
      <vt:variant>
        <vt:lpwstr/>
      </vt:variant>
      <vt:variant>
        <vt:i4>3342344</vt:i4>
      </vt:variant>
      <vt:variant>
        <vt:i4>6</vt:i4>
      </vt:variant>
      <vt:variant>
        <vt:i4>0</vt:i4>
      </vt:variant>
      <vt:variant>
        <vt:i4>5</vt:i4>
      </vt:variant>
      <vt:variant>
        <vt:lpwstr>mailto:miguelalmaguer031143@gmail.com</vt:lpwstr>
      </vt:variant>
      <vt:variant>
        <vt:lpwstr/>
      </vt:variant>
      <vt:variant>
        <vt:i4>7536640</vt:i4>
      </vt:variant>
      <vt:variant>
        <vt:i4>3</vt:i4>
      </vt:variant>
      <vt:variant>
        <vt:i4>0</vt:i4>
      </vt:variant>
      <vt:variant>
        <vt:i4>5</vt:i4>
      </vt:variant>
      <vt:variant>
        <vt:lpwstr>mailto:nefroprev@infomed.sld.cu</vt:lpwstr>
      </vt:variant>
      <vt:variant>
        <vt:lpwstr/>
      </vt:variant>
      <vt:variant>
        <vt:i4>45</vt:i4>
      </vt:variant>
      <vt:variant>
        <vt:i4>0</vt:i4>
      </vt:variant>
      <vt:variant>
        <vt:i4>0</vt:i4>
      </vt:variant>
      <vt:variant>
        <vt:i4>5</vt:i4>
      </vt:variant>
      <vt:variant>
        <vt:lpwstr>mailto:doktorantes@gmail.com</vt:lpwstr>
      </vt:variant>
      <vt:variant>
        <vt:lpwstr/>
      </vt:variant>
      <vt:variant>
        <vt:i4>6750253</vt:i4>
      </vt:variant>
      <vt:variant>
        <vt:i4>84</vt:i4>
      </vt:variant>
      <vt:variant>
        <vt:i4>0</vt:i4>
      </vt:variant>
      <vt:variant>
        <vt:i4>5</vt:i4>
      </vt:variant>
      <vt:variant>
        <vt:lpwstr>https://www.karger.com/Journal/Issue/271243</vt:lpwstr>
      </vt:variant>
      <vt:variant>
        <vt:lpwstr/>
      </vt:variant>
      <vt:variant>
        <vt:i4>7012408</vt:i4>
      </vt:variant>
      <vt:variant>
        <vt:i4>81</vt:i4>
      </vt:variant>
      <vt:variant>
        <vt:i4>0</vt:i4>
      </vt:variant>
      <vt:variant>
        <vt:i4>5</vt:i4>
      </vt:variant>
      <vt:variant>
        <vt:lpwstr>https://www.vox.com/future-perfect/2019/2/15/18213988/chronic-kidney-disease-climate-change</vt:lpwstr>
      </vt:variant>
      <vt:variant>
        <vt:lpwstr/>
      </vt:variant>
      <vt:variant>
        <vt:i4>4915285</vt:i4>
      </vt:variant>
      <vt:variant>
        <vt:i4>78</vt:i4>
      </vt:variant>
      <vt:variant>
        <vt:i4>0</vt:i4>
      </vt:variant>
      <vt:variant>
        <vt:i4>5</vt:i4>
      </vt:variant>
      <vt:variant>
        <vt:lpwstr>https://www.vox.com/authors/julia-belluz</vt:lpwstr>
      </vt:variant>
      <vt:variant>
        <vt:lpwstr/>
      </vt:variant>
      <vt:variant>
        <vt:i4>7012477</vt:i4>
      </vt:variant>
      <vt:variant>
        <vt:i4>75</vt:i4>
      </vt:variant>
      <vt:variant>
        <vt:i4>0</vt:i4>
      </vt:variant>
      <vt:variant>
        <vt:i4>5</vt:i4>
      </vt:variant>
      <vt:variant>
        <vt:lpwstr>http://www.nlm.nih.gov/medlinepl us/ency/article/001085.htm</vt:lpwstr>
      </vt:variant>
      <vt:variant>
        <vt:lpwstr/>
      </vt:variant>
      <vt:variant>
        <vt:i4>4522003</vt:i4>
      </vt:variant>
      <vt:variant>
        <vt:i4>72</vt:i4>
      </vt:variant>
      <vt:variant>
        <vt:i4>0</vt:i4>
      </vt:variant>
      <vt:variant>
        <vt:i4>5</vt:i4>
      </vt:variant>
      <vt:variant>
        <vt:lpwstr>http://www.natural.news/2015-09-30-study-confirms-glyphosate-causes-liver-and-kidney-failure.html</vt:lpwstr>
      </vt:variant>
      <vt:variant>
        <vt:lpwstr/>
      </vt:variant>
      <vt:variant>
        <vt:i4>1376263</vt:i4>
      </vt:variant>
      <vt:variant>
        <vt:i4>69</vt:i4>
      </vt:variant>
      <vt:variant>
        <vt:i4>0</vt:i4>
      </vt:variant>
      <vt:variant>
        <vt:i4>5</vt:i4>
      </vt:variant>
      <vt:variant>
        <vt:lpwstr>http://www.truth-out.org/news/item/34899-monsanto-s-pesticide-is-top-suspect-behind-mysterious-kidney-disease</vt:lpwstr>
      </vt:variant>
      <vt:variant>
        <vt:lpwstr/>
      </vt:variant>
      <vt:variant>
        <vt:i4>3801123</vt:i4>
      </vt:variant>
      <vt:variant>
        <vt:i4>66</vt:i4>
      </vt:variant>
      <vt:variant>
        <vt:i4>0</vt:i4>
      </vt:variant>
      <vt:variant>
        <vt:i4>5</vt:i4>
      </vt:variant>
      <vt:variant>
        <vt:lpwstr>http://www.truth-out.org/author/itemlist/user/51946</vt:lpwstr>
      </vt:variant>
      <vt:variant>
        <vt:lpwstr/>
      </vt:variant>
      <vt:variant>
        <vt:i4>3801123</vt:i4>
      </vt:variant>
      <vt:variant>
        <vt:i4>63</vt:i4>
      </vt:variant>
      <vt:variant>
        <vt:i4>0</vt:i4>
      </vt:variant>
      <vt:variant>
        <vt:i4>5</vt:i4>
      </vt:variant>
      <vt:variant>
        <vt:lpwstr>http://www.truth-out.org/author/itemlist/user/51945</vt:lpwstr>
      </vt:variant>
      <vt:variant>
        <vt:lpwstr/>
      </vt:variant>
      <vt:variant>
        <vt:i4>3997739</vt:i4>
      </vt:variant>
      <vt:variant>
        <vt:i4>60</vt:i4>
      </vt:variant>
      <vt:variant>
        <vt:i4>0</vt:i4>
      </vt:variant>
      <vt:variant>
        <vt:i4>5</vt:i4>
      </vt:variant>
      <vt:variant>
        <vt:lpwstr>http://www.truth-out.org/author/itemlist/user/50125</vt:lpwstr>
      </vt:variant>
      <vt:variant>
        <vt:lpwstr/>
      </vt:variant>
      <vt:variant>
        <vt:i4>6225934</vt:i4>
      </vt:variant>
      <vt:variant>
        <vt:i4>54</vt:i4>
      </vt:variant>
      <vt:variant>
        <vt:i4>0</vt:i4>
      </vt:variant>
      <vt:variant>
        <vt:i4>5</vt:i4>
      </vt:variant>
      <vt:variant>
        <vt:lpwstr>http://dx.doi.org/10.1053/j.ajkd.2017.06.012</vt:lpwstr>
      </vt:variant>
      <vt:variant>
        <vt:lpwstr/>
      </vt:variant>
      <vt:variant>
        <vt:i4>4522071</vt:i4>
      </vt:variant>
      <vt:variant>
        <vt:i4>51</vt:i4>
      </vt:variant>
      <vt:variant>
        <vt:i4>0</vt:i4>
      </vt:variant>
      <vt:variant>
        <vt:i4>5</vt:i4>
      </vt:variant>
      <vt:variant>
        <vt:lpwstr>javascript:;</vt:lpwstr>
      </vt:variant>
      <vt:variant>
        <vt:lpwstr/>
      </vt:variant>
      <vt:variant>
        <vt:i4>4522071</vt:i4>
      </vt:variant>
      <vt:variant>
        <vt:i4>48</vt:i4>
      </vt:variant>
      <vt:variant>
        <vt:i4>0</vt:i4>
      </vt:variant>
      <vt:variant>
        <vt:i4>5</vt:i4>
      </vt:variant>
      <vt:variant>
        <vt:lpwstr>javascript:;</vt:lpwstr>
      </vt:variant>
      <vt:variant>
        <vt:lpwstr/>
      </vt:variant>
      <vt:variant>
        <vt:i4>6619262</vt:i4>
      </vt:variant>
      <vt:variant>
        <vt:i4>42</vt:i4>
      </vt:variant>
      <vt:variant>
        <vt:i4>0</vt:i4>
      </vt:variant>
      <vt:variant>
        <vt:i4>5</vt:i4>
      </vt:variant>
      <vt:variant>
        <vt:lpwstr>https://www.tandfonline.com/toc/utas20/73/sup1</vt:lpwstr>
      </vt:variant>
      <vt:variant>
        <vt:lpwstr/>
      </vt:variant>
      <vt:variant>
        <vt:i4>6750334</vt:i4>
      </vt:variant>
      <vt:variant>
        <vt:i4>39</vt:i4>
      </vt:variant>
      <vt:variant>
        <vt:i4>0</vt:i4>
      </vt:variant>
      <vt:variant>
        <vt:i4>5</vt:i4>
      </vt:variant>
      <vt:variant>
        <vt:lpwstr>http://www.salud.gob.sv/archivos/comunicaciones/archivos_comunicados2017/pdf/presentaciones_evento20032017/01-ENECA-ELS-2015.pdf</vt:lpwstr>
      </vt:variant>
      <vt:variant>
        <vt:lpwstr/>
      </vt:variant>
      <vt:variant>
        <vt:i4>3145778</vt:i4>
      </vt:variant>
      <vt:variant>
        <vt:i4>36</vt:i4>
      </vt:variant>
      <vt:variant>
        <vt:i4>0</vt:i4>
      </vt:variant>
      <vt:variant>
        <vt:i4>5</vt:i4>
      </vt:variant>
      <vt:variant>
        <vt:lpwstr>https://doi.org/10.1016/j.ekir.2018.11.019</vt:lpwstr>
      </vt:variant>
      <vt:variant>
        <vt:lpwstr/>
      </vt:variant>
      <vt:variant>
        <vt:i4>3211323</vt:i4>
      </vt:variant>
      <vt:variant>
        <vt:i4>33</vt:i4>
      </vt:variant>
      <vt:variant>
        <vt:i4>0</vt:i4>
      </vt:variant>
      <vt:variant>
        <vt:i4>5</vt:i4>
      </vt:variant>
      <vt:variant>
        <vt:lpwstr>http://doi.org/10.1177/2158244013511827</vt:lpwstr>
      </vt:variant>
      <vt:variant>
        <vt:lpwstr/>
      </vt:variant>
      <vt:variant>
        <vt:i4>6750334</vt:i4>
      </vt:variant>
      <vt:variant>
        <vt:i4>30</vt:i4>
      </vt:variant>
      <vt:variant>
        <vt:i4>0</vt:i4>
      </vt:variant>
      <vt:variant>
        <vt:i4>5</vt:i4>
      </vt:variant>
      <vt:variant>
        <vt:lpwstr>http://www.salud.gob.sv/archivos/comunicaciones/archivos_comunicados2017/pdf/presentaciones_evento20032017/01-ENECA-ELS-2015.pdf</vt:lpwstr>
      </vt:variant>
      <vt:variant>
        <vt:lpwstr/>
      </vt:variant>
      <vt:variant>
        <vt:i4>7995480</vt:i4>
      </vt:variant>
      <vt:variant>
        <vt:i4>21</vt:i4>
      </vt:variant>
      <vt:variant>
        <vt:i4>0</vt:i4>
      </vt:variant>
      <vt:variant>
        <vt:i4>5</vt:i4>
      </vt:variant>
      <vt:variant>
        <vt:lpwstr>http://www.sica.int/busqueda/busqueda_basica.aspx?ldMod=3</vt:lpwstr>
      </vt:variant>
      <vt:variant>
        <vt:lpwstr/>
      </vt:variant>
      <vt:variant>
        <vt:i4>6422621</vt:i4>
      </vt:variant>
      <vt:variant>
        <vt:i4>18</vt:i4>
      </vt:variant>
      <vt:variant>
        <vt:i4>0</vt:i4>
      </vt:variant>
      <vt:variant>
        <vt:i4>5</vt:i4>
      </vt:variant>
      <vt:variant>
        <vt:lpwstr>http://www.medicc.org/medic-creview / documents / San_Salvador_English_online.pdf</vt:lpwstr>
      </vt:variant>
      <vt:variant>
        <vt:lpwstr/>
      </vt:variant>
      <vt:variant>
        <vt:i4>262173</vt:i4>
      </vt:variant>
      <vt:variant>
        <vt:i4>15</vt:i4>
      </vt:variant>
      <vt:variant>
        <vt:i4>0</vt:i4>
      </vt:variant>
      <vt:variant>
        <vt:i4>5</vt:i4>
      </vt:variant>
      <vt:variant>
        <vt:lpwstr>https://doi.org/10.1186/s12882-018-0911-8</vt:lpwstr>
      </vt:variant>
      <vt:variant>
        <vt:lpwstr/>
      </vt:variant>
      <vt:variant>
        <vt:i4>2490414</vt:i4>
      </vt:variant>
      <vt:variant>
        <vt:i4>12</vt:i4>
      </vt:variant>
      <vt:variant>
        <vt:i4>0</vt:i4>
      </vt:variant>
      <vt:variant>
        <vt:i4>5</vt:i4>
      </vt:variant>
      <vt:variant>
        <vt:lpwstr>http://www.ipsnews.net/2012/08/study-links-kidney-disease-in-sri-lankas-farm-belt-to-agrochemicals/</vt:lpwstr>
      </vt:variant>
      <vt:variant>
        <vt:lpwstr/>
      </vt:variant>
      <vt:variant>
        <vt:i4>3145776</vt:i4>
      </vt:variant>
      <vt:variant>
        <vt:i4>9</vt:i4>
      </vt:variant>
      <vt:variant>
        <vt:i4>0</vt:i4>
      </vt:variant>
      <vt:variant>
        <vt:i4>5</vt:i4>
      </vt:variant>
      <vt:variant>
        <vt:lpwstr>https://www.rti.org/sites/default/files/resources/rti-publication-file-fb1d2db7-bd51-4f85-a8d1-3e38ba9c4da7.pdf</vt:lpwstr>
      </vt:variant>
      <vt:variant>
        <vt:lpwstr/>
      </vt:variant>
      <vt:variant>
        <vt:i4>2031709</vt:i4>
      </vt:variant>
      <vt:variant>
        <vt:i4>3</vt:i4>
      </vt:variant>
      <vt:variant>
        <vt:i4>0</vt:i4>
      </vt:variant>
      <vt:variant>
        <vt:i4>5</vt:i4>
      </vt:variant>
      <vt:variant>
        <vt:lpwstr>https://doi.org/10.26633/RPSP.2019.35</vt:lpwstr>
      </vt:variant>
      <vt:variant>
        <vt:lpwstr/>
      </vt:variant>
      <vt:variant>
        <vt:i4>5701632</vt:i4>
      </vt:variant>
      <vt:variant>
        <vt:i4>0</vt:i4>
      </vt:variant>
      <vt:variant>
        <vt:i4>0</vt:i4>
      </vt:variant>
      <vt:variant>
        <vt:i4>5</vt:i4>
      </vt:variant>
      <vt:variant>
        <vt:lpwstr>http://www.thelancet.com/campaigns/kidney/updates/kidney-disease-in-latin-america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5</cp:revision>
  <cp:lastPrinted>2019-10-17T22:45:00Z</cp:lastPrinted>
  <dcterms:created xsi:type="dcterms:W3CDTF">2020-02-04T03:23:00Z</dcterms:created>
  <dcterms:modified xsi:type="dcterms:W3CDTF">2020-02-13T18:27:00Z</dcterms:modified>
</cp:coreProperties>
</file>